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C3" w:rsidRDefault="006416C3"/>
    <w:p w:rsidR="0014731B" w:rsidRDefault="0014731B"/>
    <w:p w:rsidR="006416C3" w:rsidRPr="0014731B" w:rsidRDefault="0014731B">
      <w:pPr>
        <w:rPr>
          <w:rFonts w:ascii="Verdana" w:hAnsi="Verdana"/>
          <w:b/>
          <w:color w:val="990099"/>
          <w:sz w:val="28"/>
        </w:rPr>
      </w:pPr>
      <w:r w:rsidRPr="0014731B">
        <w:rPr>
          <w:rFonts w:ascii="Verdana" w:hAnsi="Verdana"/>
          <w:b/>
          <w:color w:val="990099"/>
          <w:sz w:val="28"/>
        </w:rPr>
        <w:t>End-point Assessment Glossary of Terms</w:t>
      </w:r>
    </w:p>
    <w:p w:rsidR="0014731B" w:rsidRDefault="001473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731B" w:rsidTr="0014731B">
        <w:tc>
          <w:tcPr>
            <w:tcW w:w="4508" w:type="dxa"/>
            <w:shd w:val="clear" w:color="auto" w:fill="990099"/>
          </w:tcPr>
          <w:p w:rsidR="0014731B" w:rsidRPr="0014731B" w:rsidRDefault="0014731B">
            <w:pPr>
              <w:rPr>
                <w:b/>
                <w:color w:val="FFFFFF" w:themeColor="background1"/>
                <w:sz w:val="28"/>
              </w:rPr>
            </w:pPr>
            <w:r w:rsidRPr="0014731B">
              <w:rPr>
                <w:b/>
                <w:color w:val="FFFFFF" w:themeColor="background1"/>
                <w:sz w:val="28"/>
              </w:rPr>
              <w:t>Term</w:t>
            </w:r>
          </w:p>
        </w:tc>
        <w:tc>
          <w:tcPr>
            <w:tcW w:w="4508" w:type="dxa"/>
            <w:shd w:val="clear" w:color="auto" w:fill="990099"/>
          </w:tcPr>
          <w:p w:rsidR="0014731B" w:rsidRPr="0014731B" w:rsidRDefault="0014731B">
            <w:pPr>
              <w:rPr>
                <w:b/>
                <w:color w:val="FFFFFF" w:themeColor="background1"/>
                <w:sz w:val="28"/>
              </w:rPr>
            </w:pPr>
            <w:r w:rsidRPr="0014731B">
              <w:rPr>
                <w:b/>
                <w:color w:val="FFFFFF" w:themeColor="background1"/>
                <w:sz w:val="28"/>
              </w:rPr>
              <w:t>Explanation</w:t>
            </w:r>
          </w:p>
        </w:tc>
      </w:tr>
      <w:tr w:rsidR="0014731B" w:rsidTr="0014731B">
        <w:tc>
          <w:tcPr>
            <w:tcW w:w="4508" w:type="dxa"/>
          </w:tcPr>
          <w:p w:rsidR="0014731B" w:rsidRPr="003803FB" w:rsidRDefault="0014731B" w:rsidP="003803FB">
            <w:pPr>
              <w:spacing w:line="276" w:lineRule="auto"/>
              <w:rPr>
                <w:rFonts w:ascii="Verdana" w:hAnsi="Verdana"/>
              </w:rPr>
            </w:pPr>
            <w:r w:rsidRPr="003803FB">
              <w:rPr>
                <w:rFonts w:ascii="Verdana" w:hAnsi="Verdana"/>
              </w:rPr>
              <w:t>Apprentice</w:t>
            </w:r>
          </w:p>
        </w:tc>
        <w:tc>
          <w:tcPr>
            <w:tcW w:w="4508" w:type="dxa"/>
          </w:tcPr>
          <w:p w:rsidR="0014731B" w:rsidRPr="003803FB" w:rsidRDefault="006E5019" w:rsidP="003803F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individual who is undertaking the apprenticeship</w:t>
            </w:r>
          </w:p>
        </w:tc>
      </w:tr>
      <w:tr w:rsidR="0014731B" w:rsidTr="0014731B">
        <w:tc>
          <w:tcPr>
            <w:tcW w:w="4508" w:type="dxa"/>
          </w:tcPr>
          <w:p w:rsidR="0014731B" w:rsidRPr="003803FB" w:rsidRDefault="0014731B" w:rsidP="003803FB">
            <w:pPr>
              <w:spacing w:line="276" w:lineRule="auto"/>
              <w:rPr>
                <w:rFonts w:ascii="Verdana" w:hAnsi="Verdana"/>
              </w:rPr>
            </w:pPr>
            <w:r w:rsidRPr="003803FB">
              <w:rPr>
                <w:rFonts w:ascii="Verdana" w:hAnsi="Verdana"/>
              </w:rPr>
              <w:t>Apprenticeship</w:t>
            </w:r>
          </w:p>
        </w:tc>
        <w:tc>
          <w:tcPr>
            <w:tcW w:w="4508" w:type="dxa"/>
          </w:tcPr>
          <w:p w:rsidR="0014731B" w:rsidRPr="003803FB" w:rsidRDefault="0050304F" w:rsidP="003803F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programme that incorporates learning alongside on the job training.</w:t>
            </w:r>
          </w:p>
        </w:tc>
      </w:tr>
      <w:tr w:rsidR="0014731B" w:rsidTr="0014731B">
        <w:tc>
          <w:tcPr>
            <w:tcW w:w="4508" w:type="dxa"/>
          </w:tcPr>
          <w:p w:rsidR="0014731B" w:rsidRPr="003803FB" w:rsidRDefault="0014731B" w:rsidP="003803FB">
            <w:pPr>
              <w:spacing w:line="276" w:lineRule="auto"/>
              <w:rPr>
                <w:rFonts w:ascii="Verdana" w:hAnsi="Verdana"/>
              </w:rPr>
            </w:pPr>
            <w:r w:rsidRPr="003803FB">
              <w:rPr>
                <w:rFonts w:ascii="Verdana" w:hAnsi="Verdana"/>
              </w:rPr>
              <w:t>Apprenticeship Standard</w:t>
            </w:r>
          </w:p>
        </w:tc>
        <w:tc>
          <w:tcPr>
            <w:tcW w:w="4508" w:type="dxa"/>
          </w:tcPr>
          <w:p w:rsidR="00E74976" w:rsidRDefault="00E74976" w:rsidP="003803F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apprenticeship standard is to be determined by the Trailblazer group.</w:t>
            </w:r>
          </w:p>
          <w:p w:rsidR="00E74976" w:rsidRPr="003803FB" w:rsidRDefault="00E74976" w:rsidP="001811B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standard will include various </w:t>
            </w:r>
            <w:r w:rsidR="001811BC">
              <w:rPr>
                <w:rFonts w:ascii="Verdana" w:hAnsi="Verdana"/>
              </w:rPr>
              <w:t xml:space="preserve">knowledge, skills and behaviours </w:t>
            </w:r>
            <w:r>
              <w:rPr>
                <w:rFonts w:ascii="Verdana" w:hAnsi="Verdana"/>
              </w:rPr>
              <w:t>for the apprentice to achieve in order to complete the apprenticeship.</w:t>
            </w:r>
          </w:p>
        </w:tc>
      </w:tr>
      <w:tr w:rsidR="0014731B" w:rsidTr="0014731B">
        <w:tc>
          <w:tcPr>
            <w:tcW w:w="4508" w:type="dxa"/>
          </w:tcPr>
          <w:p w:rsidR="0014731B" w:rsidRPr="003803FB" w:rsidRDefault="0014731B" w:rsidP="003803FB">
            <w:pPr>
              <w:spacing w:line="276" w:lineRule="auto"/>
              <w:rPr>
                <w:rFonts w:ascii="Verdana" w:hAnsi="Verdana"/>
              </w:rPr>
            </w:pPr>
            <w:r w:rsidRPr="003803FB">
              <w:rPr>
                <w:rFonts w:ascii="Verdana" w:hAnsi="Verdana"/>
              </w:rPr>
              <w:t>Assessment Plan</w:t>
            </w:r>
          </w:p>
        </w:tc>
        <w:tc>
          <w:tcPr>
            <w:tcW w:w="4508" w:type="dxa"/>
          </w:tcPr>
          <w:p w:rsidR="0014731B" w:rsidRDefault="00E74976" w:rsidP="003803F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plan that apprentices must </w:t>
            </w:r>
            <w:r w:rsidR="001811BC">
              <w:rPr>
                <w:rFonts w:ascii="Verdana" w:hAnsi="Verdana"/>
              </w:rPr>
              <w:t>complete and pass</w:t>
            </w:r>
            <w:r>
              <w:rPr>
                <w:rFonts w:ascii="Verdana" w:hAnsi="Verdana"/>
              </w:rPr>
              <w:t xml:space="preserve">. Apprentices are to evidence that they have </w:t>
            </w:r>
            <w:r w:rsidR="001811BC">
              <w:rPr>
                <w:rFonts w:ascii="Verdana" w:hAnsi="Verdana"/>
              </w:rPr>
              <w:t xml:space="preserve">the right knowledge, skills and behaviours for the role </w:t>
            </w:r>
            <w:r>
              <w:rPr>
                <w:rFonts w:ascii="Verdana" w:hAnsi="Verdana"/>
              </w:rPr>
              <w:t xml:space="preserve">via different assessments, in order to </w:t>
            </w:r>
            <w:r w:rsidR="001811BC">
              <w:rPr>
                <w:rFonts w:ascii="Verdana" w:hAnsi="Verdana"/>
              </w:rPr>
              <w:t xml:space="preserve">confirm they have </w:t>
            </w:r>
            <w:r>
              <w:rPr>
                <w:rFonts w:ascii="Verdana" w:hAnsi="Verdana"/>
              </w:rPr>
              <w:t>pass</w:t>
            </w:r>
            <w:r w:rsidR="001811BC">
              <w:rPr>
                <w:rFonts w:ascii="Verdana" w:hAnsi="Verdana"/>
              </w:rPr>
              <w:t>ed</w:t>
            </w:r>
            <w:r>
              <w:rPr>
                <w:rFonts w:ascii="Verdana" w:hAnsi="Verdana"/>
              </w:rPr>
              <w:t xml:space="preserve"> the apprenticeship.</w:t>
            </w:r>
          </w:p>
          <w:p w:rsidR="00E74976" w:rsidRPr="003803FB" w:rsidRDefault="00E74976" w:rsidP="003803F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assessment plan for each standard is determined by the Trailblazer</w:t>
            </w:r>
            <w:r w:rsidR="001811BC">
              <w:rPr>
                <w:rFonts w:ascii="Verdana" w:hAnsi="Verdana"/>
              </w:rPr>
              <w:t xml:space="preserve"> Group</w:t>
            </w:r>
            <w:r>
              <w:rPr>
                <w:rFonts w:ascii="Verdana" w:hAnsi="Verdana"/>
              </w:rPr>
              <w:t>.</w:t>
            </w:r>
          </w:p>
        </w:tc>
      </w:tr>
      <w:tr w:rsidR="0014731B" w:rsidTr="0014731B">
        <w:tc>
          <w:tcPr>
            <w:tcW w:w="4508" w:type="dxa"/>
          </w:tcPr>
          <w:p w:rsidR="0014731B" w:rsidRPr="003803FB" w:rsidRDefault="0014731B" w:rsidP="003803FB">
            <w:pPr>
              <w:spacing w:line="276" w:lineRule="auto"/>
              <w:rPr>
                <w:rFonts w:ascii="Verdana" w:hAnsi="Verdana"/>
              </w:rPr>
            </w:pPr>
            <w:r w:rsidRPr="003803FB">
              <w:rPr>
                <w:rFonts w:ascii="Verdana" w:hAnsi="Verdana"/>
              </w:rPr>
              <w:t xml:space="preserve">Assessment </w:t>
            </w:r>
          </w:p>
        </w:tc>
        <w:tc>
          <w:tcPr>
            <w:tcW w:w="4508" w:type="dxa"/>
          </w:tcPr>
          <w:p w:rsidR="0047141A" w:rsidRPr="003803FB" w:rsidRDefault="0047141A" w:rsidP="003803F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set of tests to ensure knowledge, skills and behaviours have been acquired.</w:t>
            </w:r>
          </w:p>
        </w:tc>
      </w:tr>
      <w:tr w:rsidR="00EB5BA6" w:rsidTr="0014731B">
        <w:tc>
          <w:tcPr>
            <w:tcW w:w="4508" w:type="dxa"/>
          </w:tcPr>
          <w:p w:rsidR="00EB5BA6" w:rsidRDefault="00EB5BA6" w:rsidP="003803F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Centre</w:t>
            </w:r>
            <w:r w:rsidR="006012B4">
              <w:rPr>
                <w:rFonts w:ascii="Verdana" w:hAnsi="Verdana"/>
              </w:rPr>
              <w:t>/Provider</w:t>
            </w:r>
          </w:p>
        </w:tc>
        <w:tc>
          <w:tcPr>
            <w:tcW w:w="4508" w:type="dxa"/>
          </w:tcPr>
          <w:p w:rsidR="00EB5BA6" w:rsidRPr="003803FB" w:rsidRDefault="006012B4" w:rsidP="003803F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Centres/Providers work with Employers to deliver the training elements of the apprenticeship standard to the apprentice.</w:t>
            </w:r>
          </w:p>
        </w:tc>
      </w:tr>
      <w:tr w:rsidR="00AF7D76" w:rsidTr="0014731B">
        <w:tc>
          <w:tcPr>
            <w:tcW w:w="4508" w:type="dxa"/>
          </w:tcPr>
          <w:p w:rsidR="00AF7D76" w:rsidRPr="003803FB" w:rsidRDefault="00AF7D76" w:rsidP="00AF7D7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Education and Skills Funding Agency (ESFA)</w:t>
            </w:r>
          </w:p>
        </w:tc>
        <w:tc>
          <w:tcPr>
            <w:tcW w:w="4508" w:type="dxa"/>
          </w:tcPr>
          <w:p w:rsidR="00AF7D76" w:rsidRPr="003803FB" w:rsidRDefault="00AF7D76" w:rsidP="00AB62E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ESFA</w:t>
            </w:r>
            <w:r w:rsidR="0047141A">
              <w:rPr>
                <w:rFonts w:ascii="Verdana" w:hAnsi="Verdana"/>
              </w:rPr>
              <w:t xml:space="preserve"> is</w:t>
            </w:r>
            <w:r>
              <w:rPr>
                <w:rFonts w:ascii="Verdana" w:hAnsi="Verdana"/>
              </w:rPr>
              <w:t xml:space="preserve"> a government r</w:t>
            </w:r>
            <w:r w:rsidR="00AB62EB">
              <w:rPr>
                <w:rFonts w:ascii="Verdana" w:hAnsi="Verdana"/>
              </w:rPr>
              <w:t>u</w:t>
            </w:r>
            <w:r>
              <w:rPr>
                <w:rFonts w:ascii="Verdana" w:hAnsi="Verdana"/>
              </w:rPr>
              <w:t>n agency that fund adult skills, training and apprenticeships in England.</w:t>
            </w:r>
          </w:p>
        </w:tc>
      </w:tr>
      <w:tr w:rsidR="00AF7D76" w:rsidTr="0014731B">
        <w:tc>
          <w:tcPr>
            <w:tcW w:w="4508" w:type="dxa"/>
          </w:tcPr>
          <w:p w:rsidR="00AF7D76" w:rsidRPr="003803FB" w:rsidRDefault="00AF7D76" w:rsidP="00AF7D76">
            <w:pPr>
              <w:spacing w:line="276" w:lineRule="auto"/>
              <w:rPr>
                <w:rFonts w:ascii="Verdana" w:hAnsi="Verdana"/>
              </w:rPr>
            </w:pPr>
            <w:r w:rsidRPr="003803FB">
              <w:rPr>
                <w:rFonts w:ascii="Verdana" w:hAnsi="Verdana"/>
              </w:rPr>
              <w:t>Employer</w:t>
            </w:r>
          </w:p>
        </w:tc>
        <w:tc>
          <w:tcPr>
            <w:tcW w:w="4508" w:type="dxa"/>
          </w:tcPr>
          <w:p w:rsidR="00AF7D76" w:rsidRPr="003803FB" w:rsidRDefault="00AF7D76" w:rsidP="00AF7D7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Employer is who hires the apprentice and leads on the apprenticeship programme.</w:t>
            </w:r>
          </w:p>
        </w:tc>
      </w:tr>
      <w:tr w:rsidR="00AF7D76" w:rsidTr="0014731B">
        <w:tc>
          <w:tcPr>
            <w:tcW w:w="4508" w:type="dxa"/>
          </w:tcPr>
          <w:p w:rsidR="00AF7D76" w:rsidRPr="003803FB" w:rsidRDefault="00AF7D76" w:rsidP="00AF7D76">
            <w:pPr>
              <w:spacing w:line="276" w:lineRule="auto"/>
              <w:rPr>
                <w:rFonts w:ascii="Verdana" w:hAnsi="Verdana"/>
              </w:rPr>
            </w:pPr>
            <w:r w:rsidRPr="003803FB">
              <w:rPr>
                <w:rFonts w:ascii="Verdana" w:hAnsi="Verdana"/>
              </w:rPr>
              <w:t>End-point Assessment (EPA)</w:t>
            </w:r>
          </w:p>
        </w:tc>
        <w:tc>
          <w:tcPr>
            <w:tcW w:w="4508" w:type="dxa"/>
          </w:tcPr>
          <w:p w:rsidR="00AF7D76" w:rsidRPr="003803FB" w:rsidRDefault="00AF7D76" w:rsidP="00AF7D7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EPA is the given name to a series of assessments that an apprentice must undertake at the end of their apprenticeship, proving their ability to </w:t>
            </w:r>
            <w:r>
              <w:rPr>
                <w:rFonts w:ascii="Verdana" w:hAnsi="Verdana"/>
              </w:rPr>
              <w:lastRenderedPageBreak/>
              <w:t>do the job that they have been training for.</w:t>
            </w:r>
          </w:p>
        </w:tc>
      </w:tr>
      <w:tr w:rsidR="00AF7D76" w:rsidTr="0014731B">
        <w:tc>
          <w:tcPr>
            <w:tcW w:w="4508" w:type="dxa"/>
          </w:tcPr>
          <w:p w:rsidR="00AF7D76" w:rsidRPr="003803FB" w:rsidRDefault="00AF7D76" w:rsidP="00AF7D76">
            <w:pPr>
              <w:spacing w:line="276" w:lineRule="auto"/>
              <w:rPr>
                <w:rFonts w:ascii="Verdana" w:hAnsi="Verdana"/>
              </w:rPr>
            </w:pPr>
            <w:r w:rsidRPr="003803FB">
              <w:rPr>
                <w:rFonts w:ascii="Verdana" w:hAnsi="Verdana"/>
              </w:rPr>
              <w:lastRenderedPageBreak/>
              <w:t xml:space="preserve">End-point Assessment Organisation (EPAO) </w:t>
            </w:r>
          </w:p>
        </w:tc>
        <w:tc>
          <w:tcPr>
            <w:tcW w:w="4508" w:type="dxa"/>
          </w:tcPr>
          <w:p w:rsidR="00AF7D76" w:rsidRDefault="00AF7D76" w:rsidP="00AF7D7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EPAO is an Awarding Body that is approved by the ESFA to deliver EPA services.</w:t>
            </w:r>
          </w:p>
          <w:p w:rsidR="00AF7D76" w:rsidRDefault="00AF7D76" w:rsidP="00AF7D7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IEPA’s will be appointed to apprentices through the EPAO.</w:t>
            </w:r>
          </w:p>
          <w:p w:rsidR="00AF7D76" w:rsidRPr="003803FB" w:rsidRDefault="00AF7D76" w:rsidP="00AF7D7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apprentice can only achieve their apprenticeship through an approved EPAO, on the </w:t>
            </w:r>
            <w:r w:rsidRPr="003803FB">
              <w:rPr>
                <w:rFonts w:ascii="Verdana" w:hAnsi="Verdana"/>
              </w:rPr>
              <w:t>Register of End-point assessment Organisations</w:t>
            </w:r>
            <w:r>
              <w:rPr>
                <w:rFonts w:ascii="Verdana" w:hAnsi="Verdana"/>
              </w:rPr>
              <w:t>.</w:t>
            </w:r>
          </w:p>
        </w:tc>
      </w:tr>
      <w:tr w:rsidR="00AF7D76" w:rsidTr="0014731B">
        <w:tc>
          <w:tcPr>
            <w:tcW w:w="4508" w:type="dxa"/>
          </w:tcPr>
          <w:p w:rsidR="00AF7D76" w:rsidRPr="003803FB" w:rsidRDefault="00AF7D76" w:rsidP="00AF7D76">
            <w:pPr>
              <w:spacing w:line="276" w:lineRule="auto"/>
              <w:rPr>
                <w:rFonts w:ascii="Verdana" w:hAnsi="Verdana"/>
              </w:rPr>
            </w:pPr>
            <w:r w:rsidRPr="003803FB">
              <w:rPr>
                <w:rFonts w:ascii="Verdana" w:hAnsi="Verdana"/>
              </w:rPr>
              <w:t>External Quality Assurer (EQA)</w:t>
            </w:r>
          </w:p>
        </w:tc>
        <w:tc>
          <w:tcPr>
            <w:tcW w:w="4508" w:type="dxa"/>
          </w:tcPr>
          <w:p w:rsidR="00AF7D76" w:rsidRDefault="00AF7D76" w:rsidP="00AF7D7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EQA is </w:t>
            </w:r>
            <w:r w:rsidR="00AB62EB">
              <w:rPr>
                <w:rFonts w:ascii="Verdana" w:hAnsi="Verdana"/>
              </w:rPr>
              <w:t xml:space="preserve">contracted </w:t>
            </w:r>
            <w:r>
              <w:rPr>
                <w:rFonts w:ascii="Verdana" w:hAnsi="Verdana"/>
              </w:rPr>
              <w:t xml:space="preserve">by the </w:t>
            </w:r>
            <w:proofErr w:type="spellStart"/>
            <w:r w:rsidR="00AB62EB">
              <w:rPr>
                <w:rFonts w:ascii="Verdana" w:hAnsi="Verdana"/>
              </w:rPr>
              <w:t>IfATE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AF7D76" w:rsidRPr="003803FB" w:rsidRDefault="00AF7D76" w:rsidP="00AB62E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role of the EQA is to ensure that the </w:t>
            </w:r>
            <w:r w:rsidR="00AB62EB">
              <w:rPr>
                <w:rFonts w:ascii="Verdana" w:hAnsi="Verdana"/>
              </w:rPr>
              <w:t>EPAO</w:t>
            </w:r>
            <w:r>
              <w:rPr>
                <w:rFonts w:ascii="Verdana" w:hAnsi="Verdana"/>
              </w:rPr>
              <w:t xml:space="preserve"> are maintaining high standards in line with the standard.</w:t>
            </w:r>
          </w:p>
        </w:tc>
      </w:tr>
      <w:tr w:rsidR="00AF7D76" w:rsidTr="0014731B">
        <w:tc>
          <w:tcPr>
            <w:tcW w:w="4508" w:type="dxa"/>
          </w:tcPr>
          <w:p w:rsidR="00AF7D76" w:rsidRPr="003803FB" w:rsidRDefault="00AF7D76" w:rsidP="00AF7D7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Funding Bands</w:t>
            </w:r>
          </w:p>
        </w:tc>
        <w:tc>
          <w:tcPr>
            <w:tcW w:w="4508" w:type="dxa"/>
          </w:tcPr>
          <w:p w:rsidR="00AF7D76" w:rsidRPr="003803FB" w:rsidRDefault="00AF7D76" w:rsidP="00B12C8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bands that dictate the amount of government funding </w:t>
            </w:r>
            <w:r w:rsidR="00B12C8B">
              <w:rPr>
                <w:rFonts w:ascii="Verdana" w:hAnsi="Verdana"/>
              </w:rPr>
              <w:t>available to support delivery of the standard.</w:t>
            </w:r>
          </w:p>
        </w:tc>
      </w:tr>
      <w:tr w:rsidR="00AF7D76" w:rsidTr="0014731B">
        <w:tc>
          <w:tcPr>
            <w:tcW w:w="4508" w:type="dxa"/>
          </w:tcPr>
          <w:p w:rsidR="00AF7D76" w:rsidRPr="003803FB" w:rsidRDefault="00AF7D76" w:rsidP="00AF7D76">
            <w:pPr>
              <w:spacing w:line="276" w:lineRule="auto"/>
              <w:rPr>
                <w:rFonts w:ascii="Verdana" w:hAnsi="Verdana"/>
              </w:rPr>
            </w:pPr>
            <w:r w:rsidRPr="003803FB">
              <w:rPr>
                <w:rFonts w:ascii="Verdana" w:hAnsi="Verdana"/>
              </w:rPr>
              <w:t>Gateway</w:t>
            </w:r>
          </w:p>
        </w:tc>
        <w:tc>
          <w:tcPr>
            <w:tcW w:w="4508" w:type="dxa"/>
          </w:tcPr>
          <w:p w:rsidR="00AF7D76" w:rsidRPr="003803FB" w:rsidRDefault="00B12C8B" w:rsidP="00B12C8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process at which the employer and provider determines that</w:t>
            </w:r>
            <w:r w:rsidR="00AF7D76">
              <w:rPr>
                <w:rFonts w:ascii="Verdana" w:hAnsi="Verdana"/>
              </w:rPr>
              <w:t xml:space="preserve"> the apprentice has completed all that is required in order for the End-point assessment to take place.</w:t>
            </w:r>
          </w:p>
        </w:tc>
      </w:tr>
      <w:tr w:rsidR="00AF7D76" w:rsidTr="0014731B">
        <w:tc>
          <w:tcPr>
            <w:tcW w:w="4508" w:type="dxa"/>
          </w:tcPr>
          <w:p w:rsidR="00AF7D76" w:rsidRPr="003803FB" w:rsidRDefault="00AF7D76" w:rsidP="00AF7D76">
            <w:pPr>
              <w:spacing w:line="276" w:lineRule="auto"/>
              <w:rPr>
                <w:rFonts w:ascii="Verdana" w:hAnsi="Verdana"/>
              </w:rPr>
            </w:pPr>
            <w:r w:rsidRPr="003803FB">
              <w:rPr>
                <w:rFonts w:ascii="Verdana" w:hAnsi="Verdana"/>
              </w:rPr>
              <w:t xml:space="preserve">Institute for Apprenticeships </w:t>
            </w:r>
            <w:r w:rsidR="00B12C8B">
              <w:rPr>
                <w:rFonts w:ascii="Verdana" w:hAnsi="Verdana"/>
              </w:rPr>
              <w:t xml:space="preserve">and Technical Education </w:t>
            </w:r>
            <w:r w:rsidRPr="003803FB">
              <w:rPr>
                <w:rFonts w:ascii="Verdana" w:hAnsi="Verdana"/>
              </w:rPr>
              <w:t>(</w:t>
            </w:r>
            <w:proofErr w:type="spellStart"/>
            <w:r w:rsidRPr="003803FB">
              <w:rPr>
                <w:rFonts w:ascii="Verdana" w:hAnsi="Verdana"/>
              </w:rPr>
              <w:t>IfA</w:t>
            </w:r>
            <w:r w:rsidR="00B12C8B">
              <w:rPr>
                <w:rFonts w:ascii="Verdana" w:hAnsi="Verdana"/>
              </w:rPr>
              <w:t>TE</w:t>
            </w:r>
            <w:proofErr w:type="spellEnd"/>
            <w:r w:rsidRPr="003803FB">
              <w:rPr>
                <w:rFonts w:ascii="Verdana" w:hAnsi="Verdana"/>
              </w:rPr>
              <w:t>)</w:t>
            </w:r>
          </w:p>
        </w:tc>
        <w:tc>
          <w:tcPr>
            <w:tcW w:w="4508" w:type="dxa"/>
          </w:tcPr>
          <w:p w:rsidR="00AF7D76" w:rsidRPr="003803FB" w:rsidRDefault="00AF7D76" w:rsidP="00B12C8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</w:t>
            </w:r>
            <w:proofErr w:type="spellStart"/>
            <w:r>
              <w:rPr>
                <w:rFonts w:ascii="Verdana" w:hAnsi="Verdana"/>
              </w:rPr>
              <w:t>IfA</w:t>
            </w:r>
            <w:r w:rsidR="00B12C8B">
              <w:rPr>
                <w:rFonts w:ascii="Verdana" w:hAnsi="Verdana"/>
              </w:rPr>
              <w:t>TE</w:t>
            </w:r>
            <w:proofErr w:type="spellEnd"/>
            <w:r>
              <w:rPr>
                <w:rFonts w:ascii="Verdana" w:hAnsi="Verdana"/>
              </w:rPr>
              <w:t xml:space="preserve"> is the institute that </w:t>
            </w:r>
            <w:r w:rsidR="00B12C8B">
              <w:rPr>
                <w:rFonts w:ascii="Verdana" w:hAnsi="Verdana"/>
              </w:rPr>
              <w:t>is responsible for Apprenticeship development and delivery.</w:t>
            </w:r>
          </w:p>
        </w:tc>
      </w:tr>
      <w:tr w:rsidR="00AF7D76" w:rsidTr="0014731B">
        <w:tc>
          <w:tcPr>
            <w:tcW w:w="4508" w:type="dxa"/>
          </w:tcPr>
          <w:p w:rsidR="00AF7D76" w:rsidRPr="003803FB" w:rsidRDefault="00AF7D76" w:rsidP="00AF7D76">
            <w:pPr>
              <w:spacing w:line="276" w:lineRule="auto"/>
              <w:rPr>
                <w:rFonts w:ascii="Verdana" w:hAnsi="Verdana"/>
              </w:rPr>
            </w:pPr>
            <w:r w:rsidRPr="003803FB">
              <w:rPr>
                <w:rFonts w:ascii="Verdana" w:hAnsi="Verdana"/>
              </w:rPr>
              <w:t>Internal Quality Assurer (IQA)</w:t>
            </w:r>
          </w:p>
        </w:tc>
        <w:tc>
          <w:tcPr>
            <w:tcW w:w="4508" w:type="dxa"/>
          </w:tcPr>
          <w:p w:rsidR="00AF7D76" w:rsidRPr="003803FB" w:rsidRDefault="00B12C8B" w:rsidP="00AF7D7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EPAO will undertake internal quality assurance of their EPA delivery to ensure a robust and fit for purpose service.</w:t>
            </w:r>
          </w:p>
        </w:tc>
      </w:tr>
      <w:tr w:rsidR="00AF7D76" w:rsidTr="0014731B">
        <w:tc>
          <w:tcPr>
            <w:tcW w:w="4508" w:type="dxa"/>
          </w:tcPr>
          <w:p w:rsidR="00AF7D76" w:rsidRPr="003803FB" w:rsidRDefault="00AF7D76" w:rsidP="00AF7D76">
            <w:pPr>
              <w:spacing w:line="276" w:lineRule="auto"/>
              <w:rPr>
                <w:rFonts w:ascii="Verdana" w:hAnsi="Verdana"/>
              </w:rPr>
            </w:pPr>
            <w:r w:rsidRPr="003803FB">
              <w:rPr>
                <w:rFonts w:ascii="Verdana" w:hAnsi="Verdana"/>
              </w:rPr>
              <w:t xml:space="preserve">Off the job training </w:t>
            </w:r>
          </w:p>
        </w:tc>
        <w:tc>
          <w:tcPr>
            <w:tcW w:w="4508" w:type="dxa"/>
          </w:tcPr>
          <w:p w:rsidR="00AF7D76" w:rsidRPr="003803FB" w:rsidRDefault="00AF7D76" w:rsidP="00AF7D7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Training that is conducted off the job, outside of the apprenticeship working hours, and classed as studying. </w:t>
            </w:r>
            <w:r w:rsidR="00B12C8B">
              <w:rPr>
                <w:rFonts w:ascii="Verdana" w:hAnsi="Verdana"/>
              </w:rPr>
              <w:t xml:space="preserve">A minimum of </w:t>
            </w:r>
            <w:r>
              <w:rPr>
                <w:rFonts w:ascii="Verdana" w:hAnsi="Verdana"/>
              </w:rPr>
              <w:t xml:space="preserve">20% of the apprenticeship is to be completed as off the job training. </w:t>
            </w:r>
          </w:p>
        </w:tc>
      </w:tr>
      <w:tr w:rsidR="00AF7D76" w:rsidTr="0014731B">
        <w:tc>
          <w:tcPr>
            <w:tcW w:w="4508" w:type="dxa"/>
          </w:tcPr>
          <w:p w:rsidR="00AF7D76" w:rsidRPr="003803FB" w:rsidRDefault="00AF7D76" w:rsidP="00AF7D76">
            <w:pPr>
              <w:spacing w:line="276" w:lineRule="auto"/>
              <w:rPr>
                <w:rFonts w:ascii="Verdana" w:hAnsi="Verdana"/>
              </w:rPr>
            </w:pPr>
            <w:r w:rsidRPr="003803FB">
              <w:rPr>
                <w:rFonts w:ascii="Verdana" w:hAnsi="Verdana"/>
              </w:rPr>
              <w:t>On the job training</w:t>
            </w:r>
          </w:p>
        </w:tc>
        <w:tc>
          <w:tcPr>
            <w:tcW w:w="4508" w:type="dxa"/>
          </w:tcPr>
          <w:p w:rsidR="00AF7D76" w:rsidRPr="003803FB" w:rsidRDefault="00AF7D76" w:rsidP="00AF7D7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Training that is conducted on the job as part of the apprenticeship, within the working hours.</w:t>
            </w:r>
          </w:p>
        </w:tc>
      </w:tr>
      <w:tr w:rsidR="00AF7D76" w:rsidTr="0014731B">
        <w:tc>
          <w:tcPr>
            <w:tcW w:w="4508" w:type="dxa"/>
          </w:tcPr>
          <w:p w:rsidR="00AF7D76" w:rsidRPr="003803FB" w:rsidRDefault="00AF7D76" w:rsidP="00AF7D7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Practical Observation</w:t>
            </w:r>
          </w:p>
        </w:tc>
        <w:tc>
          <w:tcPr>
            <w:tcW w:w="4508" w:type="dxa"/>
          </w:tcPr>
          <w:p w:rsidR="00AF7D76" w:rsidRDefault="00AF7D76" w:rsidP="00AF7D7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type of assessment.</w:t>
            </w:r>
          </w:p>
          <w:p w:rsidR="00AF7D76" w:rsidRPr="003803FB" w:rsidRDefault="00AF7D76" w:rsidP="00B12C8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IEPA observes the apprentice completing </w:t>
            </w:r>
            <w:r w:rsidR="00B12C8B">
              <w:rPr>
                <w:rFonts w:ascii="Verdana" w:hAnsi="Verdana"/>
              </w:rPr>
              <w:t>a set task and assesses against specific criteria.</w:t>
            </w:r>
          </w:p>
        </w:tc>
      </w:tr>
      <w:tr w:rsidR="00AF7D76" w:rsidTr="0014731B">
        <w:tc>
          <w:tcPr>
            <w:tcW w:w="4508" w:type="dxa"/>
          </w:tcPr>
          <w:p w:rsidR="00AF7D76" w:rsidRPr="003803FB" w:rsidRDefault="00AF7D76" w:rsidP="00AF7D7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Professional Discussion</w:t>
            </w:r>
          </w:p>
        </w:tc>
        <w:tc>
          <w:tcPr>
            <w:tcW w:w="4508" w:type="dxa"/>
          </w:tcPr>
          <w:p w:rsidR="00AF7D76" w:rsidRDefault="00AF7D76" w:rsidP="00AF7D7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type of assessment.</w:t>
            </w:r>
          </w:p>
          <w:p w:rsidR="00AF7D76" w:rsidRPr="003803FB" w:rsidRDefault="00AF7D76" w:rsidP="00AF7D7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One-on-one structured discussion between the apprentice and the assessor in order to demonstrate knowledge, skills and behaviour.</w:t>
            </w:r>
          </w:p>
        </w:tc>
      </w:tr>
      <w:tr w:rsidR="00AF7D76" w:rsidTr="0014731B">
        <w:tc>
          <w:tcPr>
            <w:tcW w:w="4508" w:type="dxa"/>
          </w:tcPr>
          <w:p w:rsidR="00AF7D76" w:rsidRPr="003803FB" w:rsidRDefault="00AF7D76" w:rsidP="00B12C8B">
            <w:pPr>
              <w:spacing w:line="276" w:lineRule="auto"/>
              <w:rPr>
                <w:rFonts w:ascii="Verdana" w:hAnsi="Verdana"/>
              </w:rPr>
            </w:pPr>
            <w:r w:rsidRPr="003803FB">
              <w:rPr>
                <w:rFonts w:ascii="Verdana" w:hAnsi="Verdana"/>
              </w:rPr>
              <w:t xml:space="preserve">Register of </w:t>
            </w:r>
            <w:r w:rsidR="00B12C8B">
              <w:rPr>
                <w:rFonts w:ascii="Verdana" w:hAnsi="Verdana"/>
              </w:rPr>
              <w:t xml:space="preserve">approved Apprenticeship </w:t>
            </w:r>
            <w:r w:rsidRPr="003803FB">
              <w:rPr>
                <w:rFonts w:ascii="Verdana" w:hAnsi="Verdana"/>
              </w:rPr>
              <w:t>Training Providers</w:t>
            </w:r>
          </w:p>
        </w:tc>
        <w:tc>
          <w:tcPr>
            <w:tcW w:w="4508" w:type="dxa"/>
          </w:tcPr>
          <w:p w:rsidR="00AF7D76" w:rsidRPr="003803FB" w:rsidRDefault="00AF7D76" w:rsidP="00AF7D7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register that all approved training providers are listed on that can deliver apprenticeship training. This list is compiled by the ESFA.</w:t>
            </w:r>
          </w:p>
        </w:tc>
      </w:tr>
      <w:tr w:rsidR="00AF7D76" w:rsidTr="0014731B">
        <w:tc>
          <w:tcPr>
            <w:tcW w:w="4508" w:type="dxa"/>
          </w:tcPr>
          <w:p w:rsidR="00AF7D76" w:rsidRPr="003803FB" w:rsidRDefault="00AF7D76" w:rsidP="00AF7D76">
            <w:pPr>
              <w:spacing w:line="276" w:lineRule="auto"/>
              <w:rPr>
                <w:rFonts w:ascii="Verdana" w:hAnsi="Verdana"/>
              </w:rPr>
            </w:pPr>
            <w:r w:rsidRPr="003803FB">
              <w:rPr>
                <w:rFonts w:ascii="Verdana" w:hAnsi="Verdana"/>
              </w:rPr>
              <w:t>Register of End-point assessment Organisations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4508" w:type="dxa"/>
          </w:tcPr>
          <w:p w:rsidR="00AF7D76" w:rsidRPr="003803FB" w:rsidRDefault="00AF7D76" w:rsidP="00AF7D7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register that all approved EPAOs are listed on that can deliver assessments in line with the agreed standard. This list is compiled by the ESFA.</w:t>
            </w:r>
          </w:p>
        </w:tc>
      </w:tr>
      <w:tr w:rsidR="00AF7D76" w:rsidTr="0014731B">
        <w:tc>
          <w:tcPr>
            <w:tcW w:w="4508" w:type="dxa"/>
          </w:tcPr>
          <w:p w:rsidR="00AF7D76" w:rsidRPr="003803FB" w:rsidRDefault="00AF7D76" w:rsidP="00AF7D76">
            <w:pPr>
              <w:spacing w:line="276" w:lineRule="auto"/>
              <w:rPr>
                <w:rFonts w:ascii="Verdana" w:hAnsi="Verdana"/>
              </w:rPr>
            </w:pPr>
            <w:r w:rsidRPr="003803FB">
              <w:rPr>
                <w:rFonts w:ascii="Verdana" w:hAnsi="Verdana"/>
              </w:rPr>
              <w:t>Trailblazers</w:t>
            </w:r>
          </w:p>
        </w:tc>
        <w:tc>
          <w:tcPr>
            <w:tcW w:w="4508" w:type="dxa"/>
          </w:tcPr>
          <w:p w:rsidR="00AF7D76" w:rsidRPr="003803FB" w:rsidRDefault="00B12C8B" w:rsidP="00AF7D7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group of employers who work together to develop standards.</w:t>
            </w:r>
          </w:p>
        </w:tc>
      </w:tr>
      <w:tr w:rsidR="00AF7D76" w:rsidTr="0014731B">
        <w:tc>
          <w:tcPr>
            <w:tcW w:w="4508" w:type="dxa"/>
          </w:tcPr>
          <w:p w:rsidR="00AF7D76" w:rsidRPr="003803FB" w:rsidRDefault="00AF7D76" w:rsidP="00AF7D76">
            <w:pPr>
              <w:spacing w:line="276" w:lineRule="auto"/>
              <w:rPr>
                <w:rFonts w:ascii="Verdana" w:hAnsi="Verdana"/>
              </w:rPr>
            </w:pPr>
            <w:r w:rsidRPr="003803FB">
              <w:rPr>
                <w:rFonts w:ascii="Verdana" w:hAnsi="Verdana"/>
              </w:rPr>
              <w:t>Trainer</w:t>
            </w:r>
          </w:p>
        </w:tc>
        <w:tc>
          <w:tcPr>
            <w:tcW w:w="4508" w:type="dxa"/>
          </w:tcPr>
          <w:p w:rsidR="00AF7D76" w:rsidRPr="003803FB" w:rsidRDefault="00AF7D76" w:rsidP="00AF7D7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person who will be providing the apprentice with on the job training as part of their apprenticeship.</w:t>
            </w:r>
          </w:p>
        </w:tc>
      </w:tr>
      <w:tr w:rsidR="00AF7D76" w:rsidTr="003803FB">
        <w:trPr>
          <w:trHeight w:val="70"/>
        </w:trPr>
        <w:tc>
          <w:tcPr>
            <w:tcW w:w="4508" w:type="dxa"/>
          </w:tcPr>
          <w:p w:rsidR="00AF7D76" w:rsidRPr="003803FB" w:rsidRDefault="00AF7D76" w:rsidP="00AF7D76">
            <w:pPr>
              <w:spacing w:line="276" w:lineRule="auto"/>
              <w:rPr>
                <w:rFonts w:ascii="Verdana" w:hAnsi="Verdana"/>
              </w:rPr>
            </w:pPr>
            <w:r w:rsidRPr="003803FB">
              <w:rPr>
                <w:rFonts w:ascii="Verdana" w:hAnsi="Verdana"/>
              </w:rPr>
              <w:t>Training Provider</w:t>
            </w:r>
          </w:p>
        </w:tc>
        <w:tc>
          <w:tcPr>
            <w:tcW w:w="4508" w:type="dxa"/>
          </w:tcPr>
          <w:p w:rsidR="00AF7D76" w:rsidRPr="003803FB" w:rsidRDefault="00B12C8B" w:rsidP="00AF7D7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 o</w:t>
            </w:r>
            <w:r w:rsidR="00AF7D76">
              <w:rPr>
                <w:rFonts w:ascii="Verdana" w:hAnsi="Verdana"/>
              </w:rPr>
              <w:t>rganisation that provides training services for the apprentice.</w:t>
            </w:r>
            <w:r>
              <w:rPr>
                <w:rFonts w:ascii="Verdana" w:hAnsi="Verdana"/>
              </w:rPr>
              <w:t xml:space="preserve"> They are included in the Register of Apprenticeships Training Providers.</w:t>
            </w:r>
            <w:bookmarkStart w:id="0" w:name="_GoBack"/>
            <w:bookmarkEnd w:id="0"/>
          </w:p>
        </w:tc>
      </w:tr>
    </w:tbl>
    <w:p w:rsidR="0014731B" w:rsidRDefault="0014731B"/>
    <w:sectPr w:rsidR="0014731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31B" w:rsidRDefault="0014731B" w:rsidP="0014731B">
      <w:pPr>
        <w:spacing w:after="0" w:line="240" w:lineRule="auto"/>
      </w:pPr>
      <w:r>
        <w:separator/>
      </w:r>
    </w:p>
  </w:endnote>
  <w:endnote w:type="continuationSeparator" w:id="0">
    <w:p w:rsidR="0014731B" w:rsidRDefault="0014731B" w:rsidP="0014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31B" w:rsidRDefault="0014731B" w:rsidP="0014731B">
    <w:pPr>
      <w:pStyle w:val="Header"/>
      <w:tabs>
        <w:tab w:val="clear" w:pos="9026"/>
      </w:tabs>
      <w:ind w:right="-755"/>
    </w:pPr>
    <w:r w:rsidRPr="0091479D">
      <w:rPr>
        <w:rFonts w:ascii="Verdana" w:hAnsi="Verdana"/>
        <w:noProof/>
        <w:color w:val="808080" w:themeColor="background1" w:themeShade="80"/>
        <w:sz w:val="14"/>
        <w:szCs w:val="17"/>
        <w:lang w:eastAsia="en-GB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3DE58333" wp14:editId="28E704E2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943600" cy="320040"/>
              <wp:effectExtent l="0" t="0" r="254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31B" w:rsidRPr="0014731B" w:rsidRDefault="0014731B" w:rsidP="0014731B">
                            <w:pPr>
                              <w:jc w:val="right"/>
                              <w:rPr>
                                <w:rFonts w:ascii="Verdana" w:hAnsi="Verdana"/>
                                <w:color w:val="7F7F7F" w:themeColor="text1" w:themeTint="80"/>
                                <w:sz w:val="18"/>
                              </w:rPr>
                            </w:pPr>
                            <w:r w:rsidRPr="0014731B">
                              <w:rPr>
                                <w:rFonts w:ascii="Verdana" w:hAnsi="Verdana"/>
                                <w:color w:val="7F7F7F" w:themeColor="text1" w:themeTint="80"/>
                                <w:sz w:val="18"/>
                              </w:rPr>
                              <w:t xml:space="preserve">Version 1, Sept 19                             </w:t>
                            </w:r>
                            <w:r>
                              <w:rPr>
                                <w:rFonts w:ascii="Verdana" w:hAnsi="Verdana"/>
                                <w:color w:val="7F7F7F" w:themeColor="text1" w:themeTint="80"/>
                                <w:sz w:val="18"/>
                              </w:rPr>
                              <w:t xml:space="preserve">   </w:t>
                            </w:r>
                            <w:r w:rsidRPr="0014731B">
                              <w:rPr>
                                <w:rFonts w:ascii="Verdana" w:hAnsi="Verdana"/>
                                <w:color w:val="7F7F7F" w:themeColor="text1" w:themeTint="80"/>
                                <w:sz w:val="18"/>
                              </w:rPr>
                              <w:t xml:space="preserve">                    End-point Assessment Glossary of Terms</w:t>
                            </w:r>
                            <w:sdt>
                              <w:sdtPr>
                                <w:rPr>
                                  <w:rFonts w:ascii="Verdana" w:hAnsi="Verdana"/>
                                  <w:color w:val="7F7F7F" w:themeColor="text1" w:themeTint="80"/>
                                  <w:sz w:val="18"/>
                                </w:rPr>
                                <w:alias w:val="Date"/>
                                <w:tag w:val=""/>
                                <w:id w:val="-1063724354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14731B">
                                  <w:rPr>
                                    <w:rFonts w:ascii="Verdana" w:hAnsi="Verdana"/>
                                    <w:color w:val="7F7F7F" w:themeColor="text1" w:themeTint="80"/>
                                    <w:sz w:val="18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14731B" w:rsidRDefault="0014731B" w:rsidP="0014731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E58333" id="Group 37" o:spid="_x0000_s1026" style="position:absolute;margin-left:416.8pt;margin-top:0;width:468pt;height:25.2pt;z-index:25166233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14731B" w:rsidRPr="0014731B" w:rsidRDefault="0014731B" w:rsidP="0014731B">
                      <w:pPr>
                        <w:jc w:val="right"/>
                        <w:rPr>
                          <w:rFonts w:ascii="Verdana" w:hAnsi="Verdana"/>
                          <w:color w:val="7F7F7F" w:themeColor="text1" w:themeTint="80"/>
                          <w:sz w:val="18"/>
                        </w:rPr>
                      </w:pPr>
                      <w:r w:rsidRPr="0014731B">
                        <w:rPr>
                          <w:rFonts w:ascii="Verdana" w:hAnsi="Verdana"/>
                          <w:color w:val="7F7F7F" w:themeColor="text1" w:themeTint="80"/>
                          <w:sz w:val="18"/>
                        </w:rPr>
                        <w:t xml:space="preserve">Version 1, Sept 19                             </w:t>
                      </w:r>
                      <w:r>
                        <w:rPr>
                          <w:rFonts w:ascii="Verdana" w:hAnsi="Verdana"/>
                          <w:color w:val="7F7F7F" w:themeColor="text1" w:themeTint="80"/>
                          <w:sz w:val="18"/>
                        </w:rPr>
                        <w:t xml:space="preserve">   </w:t>
                      </w:r>
                      <w:r w:rsidRPr="0014731B">
                        <w:rPr>
                          <w:rFonts w:ascii="Verdana" w:hAnsi="Verdana"/>
                          <w:color w:val="7F7F7F" w:themeColor="text1" w:themeTint="80"/>
                          <w:sz w:val="18"/>
                        </w:rPr>
                        <w:t xml:space="preserve">                    End-point Assessment Glossary of Terms</w:t>
                      </w:r>
                      <w:sdt>
                        <w:sdtPr>
                          <w:rPr>
                            <w:rFonts w:ascii="Verdana" w:hAnsi="Verdana"/>
                            <w:color w:val="7F7F7F" w:themeColor="text1" w:themeTint="80"/>
                            <w:sz w:val="18"/>
                          </w:rPr>
                          <w:alias w:val="Date"/>
                          <w:tag w:val=""/>
                          <w:id w:val="-1063724354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MMMM 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14731B">
                            <w:rPr>
                              <w:rFonts w:ascii="Verdana" w:hAnsi="Verdana"/>
                              <w:color w:val="7F7F7F" w:themeColor="text1" w:themeTint="80"/>
                              <w:sz w:val="18"/>
                            </w:rPr>
                            <w:t xml:space="preserve">     </w:t>
                          </w:r>
                        </w:sdtContent>
                      </w:sdt>
                    </w:p>
                    <w:p w:rsidR="0014731B" w:rsidRDefault="0014731B" w:rsidP="0014731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91479D">
      <w:rPr>
        <w:rFonts w:ascii="Verdana" w:hAnsi="Verdana"/>
        <w:noProof/>
        <w:color w:val="7F7F7F" w:themeColor="text1" w:themeTint="80"/>
        <w:sz w:val="14"/>
        <w:szCs w:val="17"/>
        <w:lang w:eastAsia="en-GB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1B32546" wp14:editId="10A9B9B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4731B" w:rsidRDefault="0014731B" w:rsidP="0014731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12C8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B32546" id="Rectangle 40" o:spid="_x0000_s1029" style="position:absolute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14731B" w:rsidRDefault="0014731B" w:rsidP="0014731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12C8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31B" w:rsidRDefault="0014731B" w:rsidP="0014731B">
      <w:pPr>
        <w:spacing w:after="0" w:line="240" w:lineRule="auto"/>
      </w:pPr>
      <w:r>
        <w:separator/>
      </w:r>
    </w:p>
  </w:footnote>
  <w:footnote w:type="continuationSeparator" w:id="0">
    <w:p w:rsidR="0014731B" w:rsidRDefault="0014731B" w:rsidP="00147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31B" w:rsidRDefault="0014731B">
    <w:pPr>
      <w:pStyle w:val="Header"/>
    </w:pPr>
    <w:r w:rsidRPr="00EC6F3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68287D" wp14:editId="7CE64808">
          <wp:simplePos x="0" y="0"/>
          <wp:positionH relativeFrom="column">
            <wp:posOffset>4162425</wp:posOffset>
          </wp:positionH>
          <wp:positionV relativeFrom="paragraph">
            <wp:posOffset>-191135</wp:posOffset>
          </wp:positionV>
          <wp:extent cx="2005965" cy="102425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C3"/>
    <w:rsid w:val="00033FAE"/>
    <w:rsid w:val="000D4DF2"/>
    <w:rsid w:val="000D57F7"/>
    <w:rsid w:val="0014731B"/>
    <w:rsid w:val="001811BC"/>
    <w:rsid w:val="001C40CB"/>
    <w:rsid w:val="00300012"/>
    <w:rsid w:val="003803FB"/>
    <w:rsid w:val="003A3CB6"/>
    <w:rsid w:val="003E2193"/>
    <w:rsid w:val="00450BD7"/>
    <w:rsid w:val="0047141A"/>
    <w:rsid w:val="004F4903"/>
    <w:rsid w:val="0050304F"/>
    <w:rsid w:val="005D2B52"/>
    <w:rsid w:val="005F3EB9"/>
    <w:rsid w:val="006012B4"/>
    <w:rsid w:val="006416C3"/>
    <w:rsid w:val="00654270"/>
    <w:rsid w:val="006E5019"/>
    <w:rsid w:val="00A3697C"/>
    <w:rsid w:val="00A44AD1"/>
    <w:rsid w:val="00AB62EB"/>
    <w:rsid w:val="00AF7D76"/>
    <w:rsid w:val="00B12C8B"/>
    <w:rsid w:val="00C12A21"/>
    <w:rsid w:val="00C55EE3"/>
    <w:rsid w:val="00DA4823"/>
    <w:rsid w:val="00E74976"/>
    <w:rsid w:val="00E815B5"/>
    <w:rsid w:val="00EB5BA6"/>
    <w:rsid w:val="00FA5810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57C8DCA-DB33-4401-A339-A11C8AE4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6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31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4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31B"/>
  </w:style>
  <w:style w:type="paragraph" w:styleId="Footer">
    <w:name w:val="footer"/>
    <w:basedOn w:val="Normal"/>
    <w:link w:val="FooterChar"/>
    <w:uiPriority w:val="99"/>
    <w:unhideWhenUsed/>
    <w:rsid w:val="00147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068E6-3B4C-4109-8D7B-5A46A820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Lakeisha Carter</dc:creator>
  <cp:keywords/>
  <dc:description/>
  <cp:lastModifiedBy>Lakeisha Carter</cp:lastModifiedBy>
  <cp:revision>30</cp:revision>
  <dcterms:created xsi:type="dcterms:W3CDTF">2019-10-11T15:23:00Z</dcterms:created>
  <dcterms:modified xsi:type="dcterms:W3CDTF">2019-10-21T12:38:00Z</dcterms:modified>
</cp:coreProperties>
</file>