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2452D" w14:textId="77777777" w:rsidR="00CF1EBC" w:rsidRDefault="00CF1EBC" w:rsidP="00550190">
      <w:pPr>
        <w:rPr>
          <w:rFonts w:eastAsia="Times New Roman" w:cstheme="majorBidi"/>
          <w:b/>
          <w:color w:val="043956" w:themeColor="accent2"/>
          <w:sz w:val="28"/>
          <w:szCs w:val="32"/>
          <w:lang w:val="en-US"/>
        </w:rPr>
      </w:pPr>
      <w:bookmarkStart w:id="0" w:name="_Toc68589336"/>
    </w:p>
    <w:p w14:paraId="48A9C63A" w14:textId="01E589FD" w:rsidR="007062D4" w:rsidRDefault="00583A08" w:rsidP="00583A08">
      <w:pPr>
        <w:pStyle w:val="Heading2"/>
        <w:rPr>
          <w:rFonts w:eastAsia="Times New Roman"/>
          <w:lang w:val="en-US"/>
        </w:rPr>
      </w:pPr>
      <w:r w:rsidRPr="00583A08">
        <w:rPr>
          <w:rFonts w:eastAsia="Times New Roman"/>
          <w:lang w:val="en-US"/>
        </w:rPr>
        <w:t>BIIAB Level 3 Certificate in Assessing Vocational Achievement</w:t>
      </w:r>
    </w:p>
    <w:p w14:paraId="2A16228C" w14:textId="77777777" w:rsidR="00583A08" w:rsidRPr="00550190" w:rsidRDefault="00583A08" w:rsidP="00550190">
      <w:pPr>
        <w:rPr>
          <w:rFonts w:eastAsia="Verdana" w:cs="Tahoma"/>
          <w:color w:val="053856"/>
          <w:kern w:val="0"/>
          <w:szCs w:val="22"/>
          <w:lang w:val="en-US"/>
          <w14:ligatures w14:val="none"/>
        </w:rPr>
      </w:pPr>
    </w:p>
    <w:p w14:paraId="12D002BF" w14:textId="22930402" w:rsidR="00550190" w:rsidRPr="00550190" w:rsidRDefault="0077170A" w:rsidP="00550190">
      <w:pPr>
        <w:pStyle w:val="Heading3"/>
        <w:rPr>
          <w:rFonts w:eastAsia="Calibri"/>
        </w:rPr>
      </w:pPr>
      <w:r>
        <w:rPr>
          <w:rFonts w:eastAsia="Calibri"/>
        </w:rPr>
        <w:t xml:space="preserve">Outline of </w:t>
      </w:r>
      <w:r w:rsidR="00DC75F6">
        <w:rPr>
          <w:rFonts w:eastAsia="Calibri"/>
        </w:rPr>
        <w:t xml:space="preserve">an Assessment </w:t>
      </w:r>
      <w:r w:rsidR="0034691A">
        <w:rPr>
          <w:rFonts w:eastAsia="Calibri"/>
        </w:rPr>
        <w:t>Strategy</w:t>
      </w:r>
      <w:r>
        <w:rPr>
          <w:rFonts w:eastAsia="Calibri"/>
        </w:rPr>
        <w:t xml:space="preserve"> and its Purpose </w:t>
      </w:r>
    </w:p>
    <w:p w14:paraId="51061E65" w14:textId="77777777" w:rsidR="00550190" w:rsidRPr="00EA249C" w:rsidRDefault="00550190" w:rsidP="00550190">
      <w:pPr>
        <w:rPr>
          <w:rFonts w:eastAsia="Verdana" w:cs="Tahoma"/>
          <w:color w:val="EE0000"/>
          <w:kern w:val="0"/>
          <w:szCs w:val="22"/>
          <w14:ligatures w14:val="none"/>
        </w:rPr>
      </w:pPr>
    </w:p>
    <w:p w14:paraId="215399D0" w14:textId="07CDADEB" w:rsidR="00550190" w:rsidRPr="00DC75F6" w:rsidRDefault="0077170A" w:rsidP="00550190">
      <w:pPr>
        <w:rPr>
          <w:rFonts w:eastAsia="Verdana" w:cs="Tahoma"/>
          <w:kern w:val="0"/>
          <w:szCs w:val="22"/>
          <w14:ligatures w14:val="none"/>
        </w:rPr>
      </w:pPr>
      <w:r w:rsidRPr="00DC75F6">
        <w:rPr>
          <w:rFonts w:eastAsia="Verdana" w:cs="Tahoma"/>
          <w:kern w:val="0"/>
          <w:szCs w:val="22"/>
          <w14:ligatures w14:val="none"/>
        </w:rPr>
        <w:t>A</w:t>
      </w:r>
      <w:r w:rsidR="00EA249C" w:rsidRPr="00DC75F6">
        <w:rPr>
          <w:rFonts w:eastAsia="Verdana" w:cs="Tahoma"/>
          <w:kern w:val="0"/>
          <w:szCs w:val="22"/>
          <w14:ligatures w14:val="none"/>
        </w:rPr>
        <w:t>n Assessment Strategy</w:t>
      </w:r>
      <w:r w:rsidRPr="00DC75F6">
        <w:rPr>
          <w:rFonts w:eastAsia="Verdana" w:cs="Tahoma"/>
          <w:kern w:val="0"/>
          <w:szCs w:val="22"/>
          <w14:ligatures w14:val="none"/>
        </w:rPr>
        <w:t xml:space="preserve"> </w:t>
      </w:r>
      <w:r w:rsidR="00DC75F6" w:rsidRPr="00DC75F6">
        <w:rPr>
          <w:rFonts w:eastAsia="Verdana" w:cs="Tahoma"/>
          <w:kern w:val="0"/>
          <w:szCs w:val="22"/>
          <w14:ligatures w14:val="none"/>
        </w:rPr>
        <w:t>provides a clear outline to how learners will be assessed when undertaking a regulated qualification.</w:t>
      </w:r>
      <w:r w:rsidR="0034691A" w:rsidRPr="0034691A">
        <w:t xml:space="preserve"> </w:t>
      </w:r>
      <w:r w:rsidR="0034691A">
        <w:rPr>
          <w:rFonts w:eastAsia="Verdana" w:cs="Tahoma"/>
          <w:kern w:val="0"/>
          <w:szCs w:val="22"/>
          <w14:ligatures w14:val="none"/>
        </w:rPr>
        <w:t>The Assessment Strategy</w:t>
      </w:r>
      <w:r w:rsidR="0034691A" w:rsidRPr="0034691A">
        <w:rPr>
          <w:rFonts w:eastAsia="Verdana" w:cs="Tahoma"/>
          <w:kern w:val="0"/>
          <w:szCs w:val="22"/>
          <w14:ligatures w14:val="none"/>
        </w:rPr>
        <w:t xml:space="preserve"> aligns with the qualification specification and guides both tutors and learners through the assessment process.</w:t>
      </w:r>
    </w:p>
    <w:p w14:paraId="09E07B89" w14:textId="77777777" w:rsidR="0077170A" w:rsidRPr="00EA249C" w:rsidRDefault="0077170A" w:rsidP="00550190">
      <w:pPr>
        <w:rPr>
          <w:rFonts w:eastAsia="Verdana" w:cs="Tahoma"/>
          <w:color w:val="EE0000"/>
          <w:kern w:val="0"/>
          <w:szCs w:val="22"/>
          <w14:ligatures w14:val="none"/>
        </w:rPr>
      </w:pPr>
    </w:p>
    <w:p w14:paraId="238D607F" w14:textId="511305B2" w:rsidR="0077170A" w:rsidRPr="0034691A" w:rsidRDefault="0077170A" w:rsidP="00550190">
      <w:pPr>
        <w:rPr>
          <w:rFonts w:eastAsia="Verdana" w:cs="Tahoma"/>
          <w:kern w:val="0"/>
          <w:szCs w:val="22"/>
          <w14:ligatures w14:val="none"/>
        </w:rPr>
      </w:pPr>
      <w:r w:rsidRPr="0034691A">
        <w:rPr>
          <w:rFonts w:eastAsia="Verdana" w:cs="Tahoma"/>
          <w:kern w:val="0"/>
          <w:szCs w:val="22"/>
          <w14:ligatures w14:val="none"/>
        </w:rPr>
        <w:t>The purpose of a</w:t>
      </w:r>
      <w:r w:rsidR="00DC75F6" w:rsidRPr="0034691A">
        <w:rPr>
          <w:rFonts w:eastAsia="Verdana" w:cs="Tahoma"/>
          <w:kern w:val="0"/>
          <w:szCs w:val="22"/>
          <w14:ligatures w14:val="none"/>
        </w:rPr>
        <w:t xml:space="preserve">n Assessment Strategy </w:t>
      </w:r>
      <w:r w:rsidRPr="0034691A">
        <w:rPr>
          <w:rFonts w:eastAsia="Verdana" w:cs="Tahoma"/>
          <w:kern w:val="0"/>
          <w:szCs w:val="22"/>
          <w14:ligatures w14:val="none"/>
        </w:rPr>
        <w:t>is to</w:t>
      </w:r>
      <w:r w:rsidR="00DC75F6" w:rsidRPr="0034691A">
        <w:rPr>
          <w:rFonts w:eastAsia="Verdana" w:cs="Tahoma"/>
          <w:kern w:val="0"/>
          <w:szCs w:val="22"/>
          <w14:ligatures w14:val="none"/>
        </w:rPr>
        <w:t xml:space="preserve"> align all assessment factors linked to a regulated qualification specification by clarifying what is required. This ensures that:</w:t>
      </w:r>
      <w:r w:rsidRPr="0034691A">
        <w:rPr>
          <w:rFonts w:eastAsia="Verdana" w:cs="Tahoma"/>
          <w:kern w:val="0"/>
          <w:szCs w:val="22"/>
          <w14:ligatures w14:val="none"/>
        </w:rPr>
        <w:t xml:space="preserve"> </w:t>
      </w:r>
    </w:p>
    <w:p w14:paraId="5F331D88" w14:textId="05837EE5" w:rsidR="0034691A" w:rsidRPr="0034691A" w:rsidRDefault="00DC75F6" w:rsidP="0049336B">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All required assessments are </w:t>
      </w:r>
      <w:r w:rsidR="0034691A" w:rsidRPr="0034691A">
        <w:rPr>
          <w:rFonts w:eastAsia="Verdana" w:cs="Tahoma"/>
          <w:kern w:val="0"/>
          <w:szCs w:val="22"/>
          <w14:ligatures w14:val="none"/>
        </w:rPr>
        <w:t>appropriate</w:t>
      </w:r>
    </w:p>
    <w:p w14:paraId="7198F6F0" w14:textId="77777777" w:rsidR="0034691A" w:rsidRPr="0034691A" w:rsidRDefault="0034691A" w:rsidP="0049336B">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Assessments are clear, fair and reliable</w:t>
      </w:r>
    </w:p>
    <w:p w14:paraId="3EF19329" w14:textId="2E9933A8" w:rsidR="0034691A" w:rsidRPr="0034691A" w:rsidRDefault="0034691A" w:rsidP="0049336B">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Assessments support learning and allow learners to achieve </w:t>
      </w:r>
    </w:p>
    <w:p w14:paraId="00206D69" w14:textId="5B5F4F58" w:rsidR="0077170A" w:rsidRPr="0034691A" w:rsidRDefault="0034691A" w:rsidP="0049336B">
      <w:pPr>
        <w:pStyle w:val="ListParagraph"/>
        <w:numPr>
          <w:ilvl w:val="0"/>
          <w:numId w:val="2"/>
        </w:numPr>
        <w:rPr>
          <w:rFonts w:eastAsia="Verdana" w:cs="Tahoma"/>
          <w:kern w:val="0"/>
          <w:szCs w:val="22"/>
          <w14:ligatures w14:val="none"/>
        </w:rPr>
      </w:pPr>
      <w:r w:rsidRPr="0034691A">
        <w:rPr>
          <w:rFonts w:eastAsia="Verdana" w:cs="Tahoma"/>
          <w:kern w:val="0"/>
          <w:szCs w:val="22"/>
          <w14:ligatures w14:val="none"/>
        </w:rPr>
        <w:t xml:space="preserve">Assessments meet regulation and Awarding Body requirements </w:t>
      </w:r>
      <w:r w:rsidR="00DC75F6" w:rsidRPr="0034691A">
        <w:rPr>
          <w:rFonts w:eastAsia="Verdana" w:cs="Tahoma"/>
          <w:kern w:val="0"/>
          <w:szCs w:val="22"/>
          <w14:ligatures w14:val="none"/>
        </w:rPr>
        <w:t xml:space="preserve"> </w:t>
      </w:r>
    </w:p>
    <w:p w14:paraId="7DB89983" w14:textId="1F1D4919" w:rsidR="003A23AD" w:rsidRPr="00EA249C" w:rsidRDefault="003A23AD" w:rsidP="003A23AD">
      <w:pPr>
        <w:rPr>
          <w:rFonts w:eastAsia="Verdana" w:cs="Tahoma"/>
          <w:color w:val="EE0000"/>
          <w:kern w:val="0"/>
          <w:szCs w:val="22"/>
          <w14:ligatures w14:val="none"/>
        </w:rPr>
      </w:pPr>
    </w:p>
    <w:p w14:paraId="673B1FFA" w14:textId="0B422800" w:rsidR="003A23AD" w:rsidRPr="0034691A" w:rsidRDefault="003A23AD" w:rsidP="003A23AD">
      <w:pPr>
        <w:rPr>
          <w:rFonts w:eastAsia="Verdana" w:cs="Tahoma"/>
          <w:kern w:val="0"/>
          <w:szCs w:val="22"/>
          <w14:ligatures w14:val="none"/>
        </w:rPr>
      </w:pPr>
      <w:r w:rsidRPr="0034691A">
        <w:rPr>
          <w:rFonts w:eastAsia="Verdana" w:cs="Tahoma"/>
          <w:kern w:val="0"/>
          <w:szCs w:val="22"/>
          <w14:ligatures w14:val="none"/>
        </w:rPr>
        <w:t xml:space="preserve">The </w:t>
      </w:r>
      <w:r w:rsidR="0034691A" w:rsidRPr="0034691A">
        <w:rPr>
          <w:rFonts w:eastAsia="Verdana" w:cs="Tahoma"/>
          <w:kern w:val="0"/>
          <w:szCs w:val="22"/>
          <w14:ligatures w14:val="none"/>
        </w:rPr>
        <w:t>Assessment Strategy</w:t>
      </w:r>
      <w:r w:rsidRPr="0034691A">
        <w:rPr>
          <w:rFonts w:eastAsia="Verdana" w:cs="Tahoma"/>
          <w:kern w:val="0"/>
          <w:szCs w:val="22"/>
          <w14:ligatures w14:val="none"/>
        </w:rPr>
        <w:t xml:space="preserve"> is broken down per unit, allowing for there to be a clear </w:t>
      </w:r>
      <w:r w:rsidR="0034691A" w:rsidRPr="0034691A">
        <w:rPr>
          <w:rFonts w:eastAsia="Verdana" w:cs="Tahoma"/>
          <w:kern w:val="0"/>
          <w:szCs w:val="22"/>
          <w14:ligatures w14:val="none"/>
        </w:rPr>
        <w:t>understanding</w:t>
      </w:r>
      <w:r w:rsidRPr="0034691A">
        <w:rPr>
          <w:rFonts w:eastAsia="Verdana" w:cs="Tahoma"/>
          <w:kern w:val="0"/>
          <w:szCs w:val="22"/>
          <w14:ligatures w14:val="none"/>
        </w:rPr>
        <w:t xml:space="preserve"> to the required </w:t>
      </w:r>
      <w:r w:rsidR="0034691A" w:rsidRPr="0034691A">
        <w:rPr>
          <w:rFonts w:eastAsia="Verdana" w:cs="Tahoma"/>
          <w:kern w:val="0"/>
          <w:szCs w:val="22"/>
          <w14:ligatures w14:val="none"/>
        </w:rPr>
        <w:t>Assessments</w:t>
      </w:r>
      <w:r w:rsidR="0034691A">
        <w:rPr>
          <w:rFonts w:eastAsia="Verdana" w:cs="Tahoma"/>
          <w:kern w:val="0"/>
          <w:szCs w:val="22"/>
          <w14:ligatures w14:val="none"/>
        </w:rPr>
        <w:t>,</w:t>
      </w:r>
      <w:r w:rsidR="0034691A" w:rsidRPr="0034691A">
        <w:rPr>
          <w:rFonts w:eastAsia="Verdana" w:cs="Tahoma"/>
          <w:kern w:val="0"/>
          <w:szCs w:val="22"/>
          <w14:ligatures w14:val="none"/>
        </w:rPr>
        <w:t xml:space="preserve"> per unit</w:t>
      </w:r>
      <w:r w:rsidR="0034691A">
        <w:rPr>
          <w:rFonts w:eastAsia="Verdana" w:cs="Tahoma"/>
          <w:kern w:val="0"/>
          <w:szCs w:val="22"/>
          <w14:ligatures w14:val="none"/>
        </w:rPr>
        <w:t xml:space="preserve"> </w:t>
      </w:r>
      <w:proofErr w:type="gramStart"/>
      <w:r w:rsidR="0034691A">
        <w:rPr>
          <w:rFonts w:eastAsia="Verdana" w:cs="Tahoma"/>
          <w:kern w:val="0"/>
          <w:szCs w:val="22"/>
          <w14:ligatures w14:val="none"/>
        </w:rPr>
        <w:t>in order to</w:t>
      </w:r>
      <w:proofErr w:type="gramEnd"/>
      <w:r w:rsidR="0034691A">
        <w:rPr>
          <w:rFonts w:eastAsia="Verdana" w:cs="Tahoma"/>
          <w:kern w:val="0"/>
          <w:szCs w:val="22"/>
          <w14:ligatures w14:val="none"/>
        </w:rPr>
        <w:t xml:space="preserve"> achieve the overall qualification</w:t>
      </w:r>
      <w:r w:rsidRPr="0034691A">
        <w:rPr>
          <w:rFonts w:eastAsia="Verdana" w:cs="Tahoma"/>
          <w:kern w:val="0"/>
          <w:szCs w:val="22"/>
          <w14:ligatures w14:val="none"/>
        </w:rPr>
        <w:t>.</w:t>
      </w:r>
    </w:p>
    <w:p w14:paraId="45FCDEF7" w14:textId="77777777" w:rsidR="0077170A" w:rsidRDefault="0077170A" w:rsidP="00550190">
      <w:pPr>
        <w:rPr>
          <w:rFonts w:eastAsia="Verdana" w:cs="Tahoma"/>
          <w:color w:val="053856"/>
          <w:kern w:val="0"/>
          <w:szCs w:val="22"/>
          <w14:ligatures w14:val="none"/>
        </w:rPr>
      </w:pPr>
    </w:p>
    <w:p w14:paraId="2308A711" w14:textId="77777777" w:rsidR="00CF1EBC" w:rsidRPr="006058A8" w:rsidRDefault="00CF1EBC" w:rsidP="00CF1EBC">
      <w:pPr>
        <w:pStyle w:val="Heading3"/>
        <w:rPr>
          <w:rFonts w:eastAsia="Times New Roman"/>
          <w:lang w:val="en-US"/>
        </w:rPr>
      </w:pPr>
      <w:bookmarkStart w:id="1" w:name="_Toc193714165"/>
      <w:bookmarkStart w:id="2" w:name="_Toc194935728"/>
      <w:bookmarkStart w:id="3" w:name="_Toc229748044"/>
      <w:r w:rsidRPr="006058A8">
        <w:rPr>
          <w:rFonts w:eastAsia="Times New Roman"/>
          <w:lang w:val="en-US"/>
        </w:rPr>
        <w:t>Assessment</w:t>
      </w:r>
      <w:bookmarkEnd w:id="1"/>
      <w:bookmarkEnd w:id="2"/>
      <w:bookmarkEnd w:id="3"/>
    </w:p>
    <w:p w14:paraId="1DFE0867" w14:textId="77777777" w:rsidR="00CF1EBC" w:rsidRDefault="00CF1EBC" w:rsidP="00CF1EBC">
      <w:pPr>
        <w:rPr>
          <w:rFonts w:eastAsia="Verdana" w:cs="Tahoma"/>
          <w:color w:val="053856"/>
          <w:kern w:val="0"/>
          <w:szCs w:val="22"/>
          <w:lang w:val="en-US"/>
        </w:rPr>
      </w:pPr>
    </w:p>
    <w:p w14:paraId="35950700" w14:textId="77777777" w:rsidR="00CF1EBC" w:rsidRDefault="00CF1EBC" w:rsidP="00CF1EBC">
      <w:pPr>
        <w:rPr>
          <w:rFonts w:eastAsia="Verdana" w:cs="Tahoma"/>
          <w:color w:val="151515"/>
          <w:kern w:val="0"/>
          <w:szCs w:val="22"/>
          <w:lang w:val="en-US"/>
        </w:rPr>
      </w:pPr>
      <w:r w:rsidRPr="009908BF">
        <w:rPr>
          <w:rFonts w:eastAsia="Verdana" w:cs="Tahoma"/>
          <w:color w:val="151515"/>
          <w:kern w:val="0"/>
          <w:szCs w:val="22"/>
          <w:lang w:val="en-US"/>
        </w:rPr>
        <w:t>This qualification is internally assessed and requires internal and external moderation. Specific requirements and restrictions may apply to individual units within qualifications. Please check unit and qualification details for specific information.</w:t>
      </w:r>
    </w:p>
    <w:p w14:paraId="313A4B97" w14:textId="77777777" w:rsidR="00CF1EBC" w:rsidRDefault="00CF1EBC" w:rsidP="00CF1EBC">
      <w:pPr>
        <w:rPr>
          <w:rFonts w:eastAsia="Verdana" w:cs="Tahoma"/>
          <w:color w:val="151515"/>
          <w:kern w:val="0"/>
          <w:szCs w:val="22"/>
          <w:lang w:val="en-US"/>
        </w:rPr>
      </w:pPr>
    </w:p>
    <w:p w14:paraId="2472A95D" w14:textId="77777777" w:rsidR="00CF1EBC" w:rsidRDefault="00CF1EBC" w:rsidP="00CF1EBC">
      <w:pPr>
        <w:rPr>
          <w:rFonts w:eastAsia="Verdana" w:cs="Tahoma"/>
          <w:color w:val="151515"/>
          <w:kern w:val="0"/>
          <w:szCs w:val="22"/>
          <w:lang w:val="en-US"/>
        </w:rPr>
      </w:pPr>
      <w:proofErr w:type="spellStart"/>
      <w:r>
        <w:rPr>
          <w:rFonts w:eastAsia="Verdana" w:cs="Tahoma"/>
          <w:color w:val="151515"/>
          <w:kern w:val="0"/>
          <w:szCs w:val="22"/>
          <w:lang w:val="en-US"/>
        </w:rPr>
        <w:t>Centres</w:t>
      </w:r>
      <w:proofErr w:type="spellEnd"/>
      <w:r>
        <w:rPr>
          <w:rFonts w:eastAsia="Verdana" w:cs="Tahoma"/>
          <w:color w:val="151515"/>
          <w:kern w:val="0"/>
          <w:szCs w:val="22"/>
          <w:lang w:val="en-US"/>
        </w:rPr>
        <w:t xml:space="preserve"> must take all reasonable steps to avoid any part of the assessment of a learner (including any internal quality assurance and invigilation) being undertaken by any person who has a personal interest in the result of the assessment.</w:t>
      </w:r>
    </w:p>
    <w:p w14:paraId="5DD80F87" w14:textId="77777777" w:rsidR="00CF1EBC" w:rsidRPr="00800E8D" w:rsidRDefault="00CF1EBC" w:rsidP="00CF1EBC">
      <w:pPr>
        <w:rPr>
          <w:highlight w:val="green"/>
        </w:rPr>
      </w:pPr>
    </w:p>
    <w:p w14:paraId="44D89778" w14:textId="77777777" w:rsidR="00CF1EBC" w:rsidRPr="00172824" w:rsidRDefault="00CF1EBC" w:rsidP="00CF1EBC">
      <w:pPr>
        <w:rPr>
          <w:b/>
          <w:bCs/>
        </w:rPr>
      </w:pPr>
      <w:r w:rsidRPr="00172824">
        <w:rPr>
          <w:b/>
          <w:bCs/>
        </w:rPr>
        <w:t>Overview of assessment strategy</w:t>
      </w:r>
    </w:p>
    <w:p w14:paraId="44379FE0" w14:textId="77777777" w:rsidR="00CF1EBC" w:rsidRDefault="00CF1EBC" w:rsidP="00CF1EBC"/>
    <w:p w14:paraId="28E3B0C3" w14:textId="77777777" w:rsidR="007062D4" w:rsidRDefault="007062D4" w:rsidP="007062D4">
      <w:r>
        <w:t xml:space="preserve">The learner needs to demonstrate competence against all the Assessment Criteria within the Assessment. The most appropriate way of covering this is through a discussion with the Learner. </w:t>
      </w:r>
    </w:p>
    <w:p w14:paraId="4200E8E7" w14:textId="77777777" w:rsidR="007062D4" w:rsidRDefault="007062D4" w:rsidP="007062D4"/>
    <w:p w14:paraId="37F3CB5F" w14:textId="77777777" w:rsidR="007062D4" w:rsidRDefault="007062D4" w:rsidP="007062D4">
      <w:r>
        <w:lastRenderedPageBreak/>
        <w:t>BIIAB Qualifications Limited requirements for carrying out a discussion apply (see below). If you wish to use an alternative assessment methodology, this needs to be agreed with BIIAB in advance of the assessment taking place.</w:t>
      </w:r>
    </w:p>
    <w:p w14:paraId="1ECDD31B" w14:textId="77777777" w:rsidR="007062D4" w:rsidRDefault="007062D4" w:rsidP="007062D4"/>
    <w:p w14:paraId="731607EB" w14:textId="77777777" w:rsidR="00CF1EBC" w:rsidRPr="00DB486D" w:rsidRDefault="00CF1EBC" w:rsidP="00CF1EBC">
      <w:pPr>
        <w:rPr>
          <w:b/>
          <w:bCs/>
        </w:rPr>
      </w:pPr>
      <w:r w:rsidRPr="00DB486D">
        <w:rPr>
          <w:b/>
          <w:bCs/>
        </w:rPr>
        <w:t>Assessment Process</w:t>
      </w:r>
    </w:p>
    <w:p w14:paraId="2F3AC4E6" w14:textId="77777777" w:rsidR="00CF1EBC" w:rsidRDefault="00CF1EBC" w:rsidP="00CF1EBC"/>
    <w:p w14:paraId="1817FE72" w14:textId="77777777" w:rsidR="007062D4" w:rsidRDefault="007062D4" w:rsidP="007062D4">
      <w:r>
        <w:t xml:space="preserve">Assessment is the process used to judge the competence, of a learner, against set standards. </w:t>
      </w:r>
    </w:p>
    <w:p w14:paraId="6B892105" w14:textId="77777777" w:rsidR="007062D4" w:rsidRDefault="007062D4" w:rsidP="007062D4"/>
    <w:p w14:paraId="06C4B335" w14:textId="77777777" w:rsidR="007062D4" w:rsidRDefault="007062D4" w:rsidP="007062D4">
      <w:r>
        <w:t xml:space="preserve">The assessor is the person who is responsible for determining learners’ competence. The assessor may be a workplace supervisor or an external person who is trained and qualified or working towards a qualification relevant to the assessor role. </w:t>
      </w:r>
    </w:p>
    <w:p w14:paraId="431BAB6E" w14:textId="77777777" w:rsidR="007062D4" w:rsidRDefault="007062D4" w:rsidP="007062D4"/>
    <w:p w14:paraId="178C7720" w14:textId="77777777" w:rsidR="007062D4" w:rsidRDefault="007062D4" w:rsidP="007062D4">
      <w:r>
        <w:t xml:space="preserve">Assessors base their judgement on performance and decide how it compares to the national standard. The assessor will also ask questions based on the knowledge required to do the work, to ascertain the knowledge and understanding of the learner. </w:t>
      </w:r>
    </w:p>
    <w:p w14:paraId="02C2CA24" w14:textId="77777777" w:rsidR="007062D4" w:rsidRDefault="007062D4" w:rsidP="007062D4"/>
    <w:p w14:paraId="05D16D72" w14:textId="77777777" w:rsidR="007062D4" w:rsidRDefault="007062D4" w:rsidP="007062D4">
      <w:r>
        <w:t xml:space="preserve">When the required units have been completed and the assessor is satisfied that the learner has met the national standard, a recommendation for a certificate will be made. </w:t>
      </w:r>
    </w:p>
    <w:p w14:paraId="4E6061E4" w14:textId="77777777" w:rsidR="007062D4" w:rsidRDefault="007062D4" w:rsidP="007062D4"/>
    <w:p w14:paraId="6298507E" w14:textId="77777777" w:rsidR="007062D4" w:rsidRDefault="007062D4" w:rsidP="007062D4">
      <w:r>
        <w:t xml:space="preserve">An Internal Quality Assurer (IQA) is responsible for the quality assurance of the qualifications within the training organisation and will provide advice, guidance and support to the assessors. IQAs also ensure that the assessors apply the standards consistently and fairly. The IQA will review the portfolio of evidence during the assessment process. </w:t>
      </w:r>
    </w:p>
    <w:p w14:paraId="0854D92E" w14:textId="77777777" w:rsidR="007062D4" w:rsidRDefault="007062D4" w:rsidP="007062D4"/>
    <w:p w14:paraId="3BC55C1E" w14:textId="3A1C604D" w:rsidR="00CF1EBC" w:rsidRDefault="007062D4" w:rsidP="007062D4">
      <w:r>
        <w:t>An External Quality Assurer (EQA), who is appointed by BIIAB, will quality assure the assessment and internal quality assurance decisions involved in the development of the portfolio. The EQA will quality assure the qualification process, which ensures that certification of the qualification is reliable, consistent and to the national standard, by checking the consistency of assessments made by the training provider, and across training providers.</w:t>
      </w:r>
    </w:p>
    <w:p w14:paraId="167E3355" w14:textId="77777777" w:rsidR="007062D4" w:rsidRDefault="007062D4" w:rsidP="007062D4"/>
    <w:p w14:paraId="47AB4165" w14:textId="77777777" w:rsidR="007062D4" w:rsidRDefault="007062D4" w:rsidP="007062D4"/>
    <w:p w14:paraId="0FF8AD9D" w14:textId="77777777" w:rsidR="007062D4" w:rsidRPr="007062D4" w:rsidRDefault="007062D4" w:rsidP="007062D4">
      <w:pPr>
        <w:rPr>
          <w:b/>
          <w:bCs/>
        </w:rPr>
      </w:pPr>
      <w:bookmarkStart w:id="4" w:name="_Toc239862254"/>
      <w:r w:rsidRPr="007062D4">
        <w:rPr>
          <w:b/>
          <w:bCs/>
        </w:rPr>
        <w:t>Requirements of assessors, external and internal verifiers</w:t>
      </w:r>
      <w:bookmarkEnd w:id="4"/>
    </w:p>
    <w:p w14:paraId="5229256B" w14:textId="77777777" w:rsidR="007062D4" w:rsidRDefault="007062D4" w:rsidP="007062D4"/>
    <w:p w14:paraId="0F8D5B5B" w14:textId="77777777" w:rsidR="007062D4" w:rsidRDefault="007062D4" w:rsidP="007062D4">
      <w:r>
        <w:t>Candidates may be assessed, moderated or verified at work either by one or several appointed individuals.</w:t>
      </w:r>
    </w:p>
    <w:p w14:paraId="3CF67199" w14:textId="77777777" w:rsidR="007062D4" w:rsidRDefault="007062D4" w:rsidP="007062D4"/>
    <w:p w14:paraId="5570D59E" w14:textId="77777777" w:rsidR="007062D4" w:rsidRDefault="007062D4" w:rsidP="007062D4">
      <w:r w:rsidRPr="00AF7069">
        <w:rPr>
          <w:b/>
          <w:bCs/>
        </w:rPr>
        <w:t>Assessors</w:t>
      </w:r>
      <w:r>
        <w:t xml:space="preserve"> – The primary responsibility of an assessor is to assess candidates’ performance in a range of tasks and to ensure the evidence submitted by the candidate meets the requirements of the assessment criteria. It is important that an assessor can recognise occupational competence as specified by the national standard. Assessors therefore need to have a thorough understanding of</w:t>
      </w:r>
    </w:p>
    <w:p w14:paraId="64C002D6" w14:textId="77777777" w:rsidR="007062D4" w:rsidRDefault="007062D4" w:rsidP="007062D4">
      <w:r>
        <w:lastRenderedPageBreak/>
        <w:t xml:space="preserve">assessment and quality assurance practices, as well as have in-depth technical understanding related to the qualifications for which they are assessing candidates. To be able to assess candidates, assessors </w:t>
      </w:r>
      <w:r w:rsidRPr="00AF7069">
        <w:rPr>
          <w:b/>
          <w:bCs/>
        </w:rPr>
        <w:t>must</w:t>
      </w:r>
      <w:r>
        <w:t>:</w:t>
      </w:r>
    </w:p>
    <w:p w14:paraId="3539AFEC" w14:textId="77777777" w:rsidR="007062D4" w:rsidRDefault="007062D4" w:rsidP="007062D4"/>
    <w:p w14:paraId="011EC4F5" w14:textId="77777777" w:rsidR="007062D4" w:rsidRDefault="007062D4" w:rsidP="0049336B">
      <w:pPr>
        <w:pStyle w:val="ListParagraph"/>
        <w:numPr>
          <w:ilvl w:val="0"/>
          <w:numId w:val="4"/>
        </w:numPr>
      </w:pPr>
      <w:r>
        <w:t xml:space="preserve">hold an appropriate qualification, as specified by the appropriate regulatory authority, confirming their competence to assess candidates undertaking competence-based units and qualifications. Assessors holding older qualifications </w:t>
      </w:r>
      <w:r w:rsidRPr="00AF7069">
        <w:rPr>
          <w:b/>
          <w:bCs/>
        </w:rPr>
        <w:t>must</w:t>
      </w:r>
      <w:r>
        <w:t xml:space="preserve"> be able to demonstrate that they are assessing to the current standards;</w:t>
      </w:r>
    </w:p>
    <w:p w14:paraId="1476A4C7" w14:textId="77777777" w:rsidR="007062D4" w:rsidRDefault="007062D4" w:rsidP="007062D4"/>
    <w:p w14:paraId="269C1B7F" w14:textId="77777777" w:rsidR="007062D4" w:rsidRDefault="007062D4" w:rsidP="007062D4">
      <w:r>
        <w:t>OR</w:t>
      </w:r>
    </w:p>
    <w:p w14:paraId="4DD794C4" w14:textId="77777777" w:rsidR="007062D4" w:rsidRDefault="007062D4" w:rsidP="007062D4"/>
    <w:p w14:paraId="6272F92E" w14:textId="77777777" w:rsidR="007062D4" w:rsidRDefault="007062D4" w:rsidP="0049336B">
      <w:pPr>
        <w:pStyle w:val="ListParagraph"/>
        <w:numPr>
          <w:ilvl w:val="0"/>
          <w:numId w:val="5"/>
        </w:numPr>
      </w:pPr>
      <w:r>
        <w:t xml:space="preserve">be working toward an appropriate qualification, as specified by the appropriate regulatory authority. Any assessors working towards an appropriate qualification </w:t>
      </w:r>
      <w:r w:rsidRPr="00AF7069">
        <w:rPr>
          <w:b/>
          <w:bCs/>
        </w:rPr>
        <w:t>must</w:t>
      </w:r>
      <w:r>
        <w:t xml:space="preserve"> ensure their decisions are countersigned by a suitably qualified assessor/verifier and should be supported by a qualified assessor throughout their training period.</w:t>
      </w:r>
    </w:p>
    <w:p w14:paraId="6FCE574A" w14:textId="77777777" w:rsidR="007062D4" w:rsidRDefault="007062D4" w:rsidP="007062D4"/>
    <w:p w14:paraId="59F79C34" w14:textId="77777777" w:rsidR="007062D4" w:rsidRDefault="007062D4" w:rsidP="0049336B">
      <w:pPr>
        <w:pStyle w:val="ListParagraph"/>
        <w:numPr>
          <w:ilvl w:val="0"/>
          <w:numId w:val="5"/>
        </w:numPr>
      </w:pPr>
      <w:r>
        <w:t>be ‘occupationally competent’. Assessors must provide current evidence of competence, knowledge and understanding in the areas to be assessed. This will normally be achieved through demonstrating competence in the roles which are to be assessed or demonstrated by relevant experience and continuing professional development (CPD) which may include the achievement of qualifications relevant to the areas being assessed.</w:t>
      </w:r>
    </w:p>
    <w:p w14:paraId="0B306D81" w14:textId="77777777" w:rsidR="007062D4" w:rsidRDefault="007062D4" w:rsidP="007062D4"/>
    <w:p w14:paraId="5BE5B5F1" w14:textId="77777777" w:rsidR="007062D4" w:rsidRDefault="007062D4" w:rsidP="0049336B">
      <w:pPr>
        <w:pStyle w:val="ListParagraph"/>
        <w:numPr>
          <w:ilvl w:val="0"/>
          <w:numId w:val="5"/>
        </w:numPr>
      </w:pPr>
      <w:r>
        <w:t>have a full and current understanding of the units of competence and requirements of the qualifications being assessed, including the quality of assessment and the assessment process. It is the responsibility of approved centres to select and appoint assessors.</w:t>
      </w:r>
    </w:p>
    <w:p w14:paraId="1681D4B7" w14:textId="77777777" w:rsidR="007062D4" w:rsidRDefault="007062D4" w:rsidP="007062D4"/>
    <w:p w14:paraId="0DCA351E" w14:textId="77777777" w:rsidR="007062D4" w:rsidRDefault="007062D4" w:rsidP="007062D4">
      <w:r w:rsidRPr="00AF7069">
        <w:rPr>
          <w:b/>
          <w:bCs/>
        </w:rPr>
        <w:t>Internal Quality Assurer (IQA)</w:t>
      </w:r>
      <w:r>
        <w:t xml:space="preserve"> – A primary responsibility of IQAs is to assure the quality and consistency of assessments by the assessors for whom they are responsible. IQAs therefore need to have a thorough understanding of quality assurance and assessment practices, as well as sufficient technical understanding related to the qualifications that they are internally verifying. It will be the responsibility of the approved centre to select and appoint IQA’s.</w:t>
      </w:r>
    </w:p>
    <w:p w14:paraId="21648210" w14:textId="77777777" w:rsidR="007062D4" w:rsidRDefault="007062D4" w:rsidP="007062D4"/>
    <w:p w14:paraId="27DE6233" w14:textId="77777777" w:rsidR="007062D4" w:rsidRDefault="007062D4" w:rsidP="007062D4">
      <w:r>
        <w:t xml:space="preserve">IQAs </w:t>
      </w:r>
      <w:r w:rsidRPr="00AF7069">
        <w:rPr>
          <w:b/>
          <w:bCs/>
        </w:rPr>
        <w:t>must</w:t>
      </w:r>
      <w:r>
        <w:t>:</w:t>
      </w:r>
    </w:p>
    <w:p w14:paraId="196A15D2" w14:textId="77777777" w:rsidR="007062D4" w:rsidRDefault="007062D4" w:rsidP="007062D4"/>
    <w:p w14:paraId="15D3E438" w14:textId="77777777" w:rsidR="007062D4" w:rsidRDefault="007062D4" w:rsidP="0049336B">
      <w:pPr>
        <w:pStyle w:val="ListParagraph"/>
        <w:numPr>
          <w:ilvl w:val="0"/>
          <w:numId w:val="6"/>
        </w:numPr>
      </w:pPr>
      <w:r>
        <w:t xml:space="preserve">hold an appropriate qualification, as specified by the appropriate regulatory authority, confirming their competence to internally verify competence-based assessments and candidates. IQAs holding older qualifications </w:t>
      </w:r>
      <w:r w:rsidRPr="00AF7069">
        <w:rPr>
          <w:b/>
          <w:bCs/>
        </w:rPr>
        <w:t>must</w:t>
      </w:r>
      <w:r>
        <w:t xml:space="preserve"> be able to demonstrate that they are verifying to the current standards;</w:t>
      </w:r>
    </w:p>
    <w:p w14:paraId="7CE70464" w14:textId="77777777" w:rsidR="007062D4" w:rsidRDefault="007062D4" w:rsidP="007062D4"/>
    <w:p w14:paraId="45A07E8B" w14:textId="77777777" w:rsidR="007062D4" w:rsidRDefault="007062D4" w:rsidP="007062D4">
      <w:r>
        <w:t>OR</w:t>
      </w:r>
    </w:p>
    <w:p w14:paraId="39236B0B" w14:textId="77777777" w:rsidR="007062D4" w:rsidRDefault="007062D4" w:rsidP="007062D4"/>
    <w:p w14:paraId="1ECE68F4" w14:textId="77777777" w:rsidR="007062D4" w:rsidRDefault="007062D4" w:rsidP="0049336B">
      <w:pPr>
        <w:pStyle w:val="ListParagraph"/>
        <w:numPr>
          <w:ilvl w:val="0"/>
          <w:numId w:val="7"/>
        </w:numPr>
      </w:pPr>
      <w:r>
        <w:lastRenderedPageBreak/>
        <w:t xml:space="preserve">be working toward an appropriate qualification, as specified by the appropriate regulatory authority. If an IQA is working towards an appropriate qualification, his/her decisions </w:t>
      </w:r>
      <w:r w:rsidRPr="00AF7069">
        <w:rPr>
          <w:b/>
          <w:bCs/>
        </w:rPr>
        <w:t>must</w:t>
      </w:r>
      <w:r>
        <w:t xml:space="preserve"> be countersigned by a suitably qualified IQA and should be supported by a qualified IQA throughout the training period.</w:t>
      </w:r>
    </w:p>
    <w:p w14:paraId="6F9D17F4" w14:textId="77777777" w:rsidR="007062D4" w:rsidRDefault="007062D4" w:rsidP="007062D4"/>
    <w:p w14:paraId="78ACD822" w14:textId="77777777" w:rsidR="007062D4" w:rsidRDefault="007062D4" w:rsidP="0049336B">
      <w:pPr>
        <w:pStyle w:val="ListParagraph"/>
        <w:numPr>
          <w:ilvl w:val="0"/>
          <w:numId w:val="7"/>
        </w:numPr>
      </w:pPr>
      <w:r>
        <w:t xml:space="preserve">be ‘occupationally competent’. IQAs </w:t>
      </w:r>
      <w:r w:rsidRPr="00AF7069">
        <w:rPr>
          <w:b/>
          <w:bCs/>
        </w:rPr>
        <w:t>must</w:t>
      </w:r>
      <w:r>
        <w:t xml:space="preserve"> demonstrate sufficient and current understanding of the qualifications to be internally verified and know how they are applied in business.</w:t>
      </w:r>
    </w:p>
    <w:p w14:paraId="19EC9128" w14:textId="77777777" w:rsidR="007062D4" w:rsidRDefault="007062D4" w:rsidP="007062D4"/>
    <w:p w14:paraId="2389684D" w14:textId="77777777" w:rsidR="007062D4" w:rsidRDefault="007062D4" w:rsidP="0049336B">
      <w:pPr>
        <w:pStyle w:val="ListParagraph"/>
        <w:numPr>
          <w:ilvl w:val="0"/>
          <w:numId w:val="7"/>
        </w:numPr>
      </w:pPr>
      <w:r>
        <w:t>demonstrate competent practice in internal verification of assessment and demonstrate understanding of the principles and practices of internal verification of assessment, including the quality of assessment and the assessment process.</w:t>
      </w:r>
    </w:p>
    <w:p w14:paraId="6973115C" w14:textId="77777777" w:rsidR="007062D4" w:rsidRDefault="007062D4" w:rsidP="007062D4"/>
    <w:p w14:paraId="7E6DE9E2" w14:textId="77777777" w:rsidR="007062D4" w:rsidRDefault="007062D4" w:rsidP="007062D4">
      <w:r w:rsidRPr="00AF7069">
        <w:rPr>
          <w:b/>
          <w:bCs/>
        </w:rPr>
        <w:t>External Quality Assurer (EQA)</w:t>
      </w:r>
      <w:r>
        <w:t xml:space="preserve"> – The primary responsibility of EQAs is to assure quality of internal verification and assessments across the centres for which they are responsible. EQAs </w:t>
      </w:r>
      <w:r w:rsidRPr="00AF7069">
        <w:rPr>
          <w:b/>
          <w:bCs/>
        </w:rPr>
        <w:t>must</w:t>
      </w:r>
      <w:r>
        <w:t xml:space="preserve"> have a thorough understanding of quality assurance and assessment practices, as well as in-depth technical</w:t>
      </w:r>
    </w:p>
    <w:p w14:paraId="59B27FC8" w14:textId="77777777" w:rsidR="007062D4" w:rsidRDefault="007062D4" w:rsidP="007062D4">
      <w:r>
        <w:t>knowledge related to the qualifications that they are externally verifying.</w:t>
      </w:r>
    </w:p>
    <w:p w14:paraId="2FDCFF16" w14:textId="77777777" w:rsidR="007062D4" w:rsidRDefault="007062D4" w:rsidP="007062D4"/>
    <w:p w14:paraId="4C32CA41" w14:textId="77777777" w:rsidR="007062D4" w:rsidRDefault="007062D4" w:rsidP="007062D4">
      <w:r>
        <w:t xml:space="preserve">EQAs </w:t>
      </w:r>
      <w:r w:rsidRPr="00AF7069">
        <w:rPr>
          <w:b/>
          <w:bCs/>
        </w:rPr>
        <w:t>must</w:t>
      </w:r>
      <w:r>
        <w:t>:</w:t>
      </w:r>
    </w:p>
    <w:p w14:paraId="53860298" w14:textId="77777777" w:rsidR="007062D4" w:rsidRDefault="007062D4" w:rsidP="007062D4"/>
    <w:p w14:paraId="571E5909" w14:textId="77777777" w:rsidR="007062D4" w:rsidRDefault="007062D4" w:rsidP="0049336B">
      <w:pPr>
        <w:pStyle w:val="ListParagraph"/>
        <w:numPr>
          <w:ilvl w:val="0"/>
          <w:numId w:val="8"/>
        </w:numPr>
      </w:pPr>
      <w:r>
        <w:t xml:space="preserve">hold an appropriate qualification as specified by the appropriate regulatory authority, confirming their competence to verify competence-based assessments. EQAs holding older qualifications </w:t>
      </w:r>
      <w:r w:rsidRPr="00AF7069">
        <w:rPr>
          <w:b/>
          <w:bCs/>
        </w:rPr>
        <w:t>must</w:t>
      </w:r>
      <w:r>
        <w:t xml:space="preserve"> be able to demonstrate that they are verifying to the current standards;</w:t>
      </w:r>
    </w:p>
    <w:p w14:paraId="424A839D" w14:textId="77777777" w:rsidR="007062D4" w:rsidRDefault="007062D4" w:rsidP="007062D4"/>
    <w:p w14:paraId="3FA7F39B" w14:textId="77777777" w:rsidR="007062D4" w:rsidRDefault="007062D4" w:rsidP="007062D4">
      <w:r>
        <w:t>OR</w:t>
      </w:r>
    </w:p>
    <w:p w14:paraId="2939456C" w14:textId="77777777" w:rsidR="007062D4" w:rsidRDefault="007062D4" w:rsidP="007062D4"/>
    <w:p w14:paraId="1528F7FC" w14:textId="77777777" w:rsidR="007062D4" w:rsidRDefault="007062D4" w:rsidP="0049336B">
      <w:pPr>
        <w:pStyle w:val="ListParagraph"/>
        <w:numPr>
          <w:ilvl w:val="0"/>
          <w:numId w:val="9"/>
        </w:numPr>
      </w:pPr>
      <w:r>
        <w:t xml:space="preserve">be working toward an appropriate qualification, as specified by the appropriate regulatory authority. If EQAs are working towards an appropriate qualification, their decisions </w:t>
      </w:r>
      <w:r w:rsidRPr="00AF7069">
        <w:rPr>
          <w:b/>
          <w:bCs/>
        </w:rPr>
        <w:t>must</w:t>
      </w:r>
      <w:r>
        <w:t xml:space="preserve"> be countersigned by a suitably qualified EQA and should be supported by a qualified EQA throughout their training period.</w:t>
      </w:r>
    </w:p>
    <w:p w14:paraId="5FBE376A" w14:textId="77777777" w:rsidR="007062D4" w:rsidRDefault="007062D4" w:rsidP="007062D4"/>
    <w:p w14:paraId="1F60D88B" w14:textId="77777777" w:rsidR="007062D4" w:rsidRDefault="007062D4" w:rsidP="0049336B">
      <w:pPr>
        <w:pStyle w:val="ListParagraph"/>
        <w:numPr>
          <w:ilvl w:val="0"/>
          <w:numId w:val="9"/>
        </w:numPr>
      </w:pPr>
      <w:r>
        <w:t>be ‘occupationally competent’. EQAs must demonstrate sufficient and current understanding of the qualifications to be verified and know how they are applied in business.</w:t>
      </w:r>
    </w:p>
    <w:p w14:paraId="616009B6" w14:textId="77777777" w:rsidR="007062D4" w:rsidRDefault="007062D4" w:rsidP="007062D4"/>
    <w:p w14:paraId="3C617451" w14:textId="77777777" w:rsidR="007062D4" w:rsidRDefault="007062D4" w:rsidP="0049336B">
      <w:pPr>
        <w:pStyle w:val="ListParagraph"/>
        <w:numPr>
          <w:ilvl w:val="0"/>
          <w:numId w:val="9"/>
        </w:numPr>
      </w:pPr>
      <w:r>
        <w:t>demonstrate competent practice in external verification of assessment and demonstrate understanding of the principles and practices of external verification of assessment, including the quality of assessment and the assessment process. It is the responsibility of the awarding organisation to select and appoint EQAs.</w:t>
      </w:r>
    </w:p>
    <w:p w14:paraId="01B8222B" w14:textId="77777777" w:rsidR="007062D4" w:rsidRDefault="007062D4" w:rsidP="007062D4"/>
    <w:p w14:paraId="10037DD4" w14:textId="77777777" w:rsidR="007062D4" w:rsidRDefault="007062D4" w:rsidP="007062D4">
      <w:r>
        <w:lastRenderedPageBreak/>
        <w:t>BIIAB Qualifications Limited and awarding organisations require all assessors, moderators and verifiers to maintain current competence to deliver these functions. BIIAB Qualification Limited recognises this can be achieved in many ways. However, such information must be formally recorded in individual CPD records that are maintained in assessment centres.</w:t>
      </w:r>
    </w:p>
    <w:p w14:paraId="7EFD117F" w14:textId="77777777" w:rsidR="007062D4" w:rsidRDefault="007062D4" w:rsidP="007062D4"/>
    <w:p w14:paraId="4D953723" w14:textId="77777777" w:rsidR="007062D4" w:rsidRPr="007062D4" w:rsidRDefault="007062D4" w:rsidP="007062D4">
      <w:pPr>
        <w:rPr>
          <w:b/>
          <w:bCs/>
        </w:rPr>
      </w:pPr>
      <w:bookmarkStart w:id="5" w:name="_Toc239862255"/>
      <w:r w:rsidRPr="007062D4">
        <w:rPr>
          <w:b/>
          <w:bCs/>
        </w:rPr>
        <w:t>Evidence from Workplace Performance</w:t>
      </w:r>
      <w:bookmarkEnd w:id="5"/>
    </w:p>
    <w:p w14:paraId="707127A2" w14:textId="77777777" w:rsidR="007062D4" w:rsidRDefault="007062D4" w:rsidP="007062D4"/>
    <w:p w14:paraId="400A5D99" w14:textId="77777777" w:rsidR="007062D4" w:rsidRDefault="007062D4" w:rsidP="0049336B">
      <w:pPr>
        <w:pStyle w:val="ListParagraph"/>
        <w:numPr>
          <w:ilvl w:val="0"/>
          <w:numId w:val="10"/>
        </w:numPr>
      </w:pPr>
      <w:r>
        <w:t>Evidence of occupational competence of all competence units at any level, should be generated and collected through performance under workplace conditions. This includes the knowledge-based learning outcomes and assessment criteria of the competence units.</w:t>
      </w:r>
    </w:p>
    <w:p w14:paraId="68B59836" w14:textId="77777777" w:rsidR="007062D4" w:rsidRDefault="007062D4" w:rsidP="007062D4"/>
    <w:p w14:paraId="199D4376" w14:textId="77777777" w:rsidR="007062D4" w:rsidRDefault="007062D4" w:rsidP="0049336B">
      <w:pPr>
        <w:pStyle w:val="ListParagraph"/>
        <w:numPr>
          <w:ilvl w:val="0"/>
          <w:numId w:val="10"/>
        </w:numPr>
      </w:pPr>
      <w:r>
        <w:t xml:space="preserve">These conditions would be those typical to the candidate's normal place of work. The evidence collected under these conditions should also be as naturally occurring as possible.  It is accepted that not all employees have identical workplace conditions and therefore there cannot be assessment conditions that are identical for all candidates. However, assessors </w:t>
      </w:r>
      <w:r w:rsidRPr="00AF7069">
        <w:rPr>
          <w:b/>
          <w:bCs/>
        </w:rPr>
        <w:t>must</w:t>
      </w:r>
      <w:r>
        <w:t xml:space="preserve"> ensure that, as far as possible, the conditions for assessment should be those under which the candidate usually works.</w:t>
      </w:r>
    </w:p>
    <w:p w14:paraId="4131B24D" w14:textId="77777777" w:rsidR="007062D4" w:rsidRDefault="007062D4" w:rsidP="007062D4"/>
    <w:p w14:paraId="3E82293F" w14:textId="2E13C7DF" w:rsidR="007062D4" w:rsidRDefault="00583A08" w:rsidP="007062D4">
      <w:pPr>
        <w:rPr>
          <w:b/>
          <w:bCs/>
        </w:rPr>
      </w:pPr>
      <w:r w:rsidRPr="00583A08">
        <w:rPr>
          <w:b/>
          <w:bCs/>
        </w:rPr>
        <w:t>Level 3 Assessor Units</w:t>
      </w:r>
    </w:p>
    <w:p w14:paraId="185B7D52" w14:textId="77777777" w:rsidR="00583A08" w:rsidRDefault="00583A08" w:rsidP="007062D4"/>
    <w:p w14:paraId="1429EC78" w14:textId="77777777" w:rsidR="00583A08" w:rsidRDefault="00583A08" w:rsidP="00583A08">
      <w:r>
        <w:t xml:space="preserve">When planning the assessment of unit A1 Understanding the principles and practices of assessment with a learner, BIIAB encourages the following approach in most instances, however the individual requirements of each Learner should be </w:t>
      </w:r>
      <w:proofErr w:type="gramStart"/>
      <w:r>
        <w:t>taken into account</w:t>
      </w:r>
      <w:proofErr w:type="gramEnd"/>
      <w:r>
        <w:t>.</w:t>
      </w:r>
    </w:p>
    <w:p w14:paraId="2761745D" w14:textId="77777777" w:rsidR="00583A08" w:rsidRDefault="00583A08" w:rsidP="00583A08"/>
    <w:p w14:paraId="60B9D32C" w14:textId="77777777" w:rsidR="00583A08" w:rsidRDefault="00583A08" w:rsidP="00583A08">
      <w:r>
        <w:t>Due to the size of the unit, it is impractical to assess this unit in one discussion. It is more appropriate to assess it through two or three discussions depending on the learner and assessment needs. The discussions could cover the following:</w:t>
      </w:r>
    </w:p>
    <w:p w14:paraId="53E73273" w14:textId="77777777" w:rsidR="00583A08" w:rsidRDefault="00583A08" w:rsidP="00583A08"/>
    <w:p w14:paraId="67873C18" w14:textId="77777777" w:rsidR="00583A08" w:rsidRDefault="00583A08" w:rsidP="00583A08">
      <w:pPr>
        <w:pStyle w:val="ListParagraph"/>
        <w:numPr>
          <w:ilvl w:val="0"/>
          <w:numId w:val="16"/>
        </w:numPr>
      </w:pPr>
      <w:r>
        <w:t>1</w:t>
      </w:r>
      <w:r w:rsidRPr="002E6B4D">
        <w:rPr>
          <w:vertAlign w:val="superscript"/>
        </w:rPr>
        <w:t>st</w:t>
      </w:r>
      <w:r>
        <w:t xml:space="preserve"> Discussion – Covers the assessment criteria within the Learning Outcomes 1, 2, and 3.</w:t>
      </w:r>
    </w:p>
    <w:p w14:paraId="4A194826" w14:textId="77777777" w:rsidR="00583A08" w:rsidRDefault="00583A08" w:rsidP="00583A08">
      <w:pPr>
        <w:pStyle w:val="ListParagraph"/>
        <w:numPr>
          <w:ilvl w:val="0"/>
          <w:numId w:val="16"/>
        </w:numPr>
      </w:pPr>
      <w:r>
        <w:t>2</w:t>
      </w:r>
      <w:r w:rsidRPr="002E6B4D">
        <w:rPr>
          <w:vertAlign w:val="superscript"/>
        </w:rPr>
        <w:t>nd</w:t>
      </w:r>
      <w:r>
        <w:t xml:space="preserve"> Discussion – Covers the assessment criteria within the Learning Outcomes 4, 5 and 6.</w:t>
      </w:r>
    </w:p>
    <w:p w14:paraId="46F1B511" w14:textId="77777777" w:rsidR="00583A08" w:rsidRDefault="00583A08" w:rsidP="00583A08">
      <w:pPr>
        <w:pStyle w:val="ListParagraph"/>
        <w:numPr>
          <w:ilvl w:val="0"/>
          <w:numId w:val="16"/>
        </w:numPr>
      </w:pPr>
      <w:r>
        <w:t>3</w:t>
      </w:r>
      <w:r w:rsidRPr="002E6B4D">
        <w:rPr>
          <w:vertAlign w:val="superscript"/>
        </w:rPr>
        <w:t>rd</w:t>
      </w:r>
      <w:r>
        <w:t xml:space="preserve"> Discussion – Covers the assessment criteria within the Learning Outcomes 7 and 8.</w:t>
      </w:r>
    </w:p>
    <w:p w14:paraId="41BC3028" w14:textId="77777777" w:rsidR="00583A08" w:rsidRDefault="00583A08" w:rsidP="00583A08"/>
    <w:p w14:paraId="6B904658" w14:textId="77777777" w:rsidR="00583A08" w:rsidRDefault="00583A08" w:rsidP="00583A08">
      <w:r>
        <w:t>The 2</w:t>
      </w:r>
      <w:r w:rsidRPr="002E6B4D">
        <w:rPr>
          <w:vertAlign w:val="superscript"/>
        </w:rPr>
        <w:t>nd</w:t>
      </w:r>
      <w:r>
        <w:t xml:space="preserve"> and 3</w:t>
      </w:r>
      <w:r w:rsidRPr="002E6B4D">
        <w:rPr>
          <w:vertAlign w:val="superscript"/>
        </w:rPr>
        <w:t>rd</w:t>
      </w:r>
      <w:r>
        <w:t xml:space="preserve"> discussion could be combined if preferred and suitable to do so.</w:t>
      </w:r>
    </w:p>
    <w:p w14:paraId="18E799AE" w14:textId="77777777" w:rsidR="00583A08" w:rsidRDefault="00583A08" w:rsidP="00583A08"/>
    <w:p w14:paraId="07FF577F" w14:textId="77777777" w:rsidR="00583A08" w:rsidRDefault="00583A08" w:rsidP="00583A08">
      <w:r>
        <w:t>When carrying out the discussion, it is important to set some scenarios e.g.:</w:t>
      </w:r>
    </w:p>
    <w:p w14:paraId="69CC47D9" w14:textId="77777777" w:rsidR="00583A08" w:rsidRDefault="00583A08" w:rsidP="00583A08"/>
    <w:p w14:paraId="5CED502F" w14:textId="77777777" w:rsidR="00583A08" w:rsidRDefault="00583A08" w:rsidP="00583A08">
      <w:pPr>
        <w:pStyle w:val="ListParagraph"/>
        <w:numPr>
          <w:ilvl w:val="0"/>
          <w:numId w:val="17"/>
        </w:numPr>
      </w:pPr>
      <w:r>
        <w:t>“If you were planning an assessment to cover...”</w:t>
      </w:r>
    </w:p>
    <w:p w14:paraId="1729FAAF" w14:textId="77777777" w:rsidR="00583A08" w:rsidRDefault="00583A08" w:rsidP="00583A08">
      <w:pPr>
        <w:pStyle w:val="ListParagraph"/>
        <w:numPr>
          <w:ilvl w:val="0"/>
          <w:numId w:val="17"/>
        </w:numPr>
      </w:pPr>
      <w:r>
        <w:t>“How would you deal with ...?”</w:t>
      </w:r>
    </w:p>
    <w:p w14:paraId="4082DCB9" w14:textId="77777777" w:rsidR="00583A08" w:rsidRDefault="00583A08" w:rsidP="00583A08">
      <w:pPr>
        <w:pStyle w:val="ListParagraph"/>
        <w:numPr>
          <w:ilvl w:val="0"/>
          <w:numId w:val="17"/>
        </w:numPr>
      </w:pPr>
      <w:r>
        <w:t>“What if...”?</w:t>
      </w:r>
    </w:p>
    <w:p w14:paraId="775A742E" w14:textId="77777777" w:rsidR="00583A08" w:rsidRDefault="00583A08" w:rsidP="00583A08"/>
    <w:p w14:paraId="6427F3C8" w14:textId="77777777" w:rsidR="00583A08" w:rsidRDefault="00583A08" w:rsidP="00583A08">
      <w:r>
        <w:lastRenderedPageBreak/>
        <w:t>When assessing this unit in conjunction with either of the following units:</w:t>
      </w:r>
    </w:p>
    <w:p w14:paraId="6BC02F39" w14:textId="77777777" w:rsidR="00583A08" w:rsidRDefault="00583A08" w:rsidP="00583A08">
      <w:pPr>
        <w:pStyle w:val="ListParagraph"/>
        <w:numPr>
          <w:ilvl w:val="0"/>
          <w:numId w:val="18"/>
        </w:numPr>
      </w:pPr>
      <w:r>
        <w:t>A2 Assess Occupational Competence in the Work Environment</w:t>
      </w:r>
    </w:p>
    <w:p w14:paraId="46E0894E" w14:textId="77777777" w:rsidR="00583A08" w:rsidRDefault="00583A08" w:rsidP="00583A08">
      <w:pPr>
        <w:pStyle w:val="ListParagraph"/>
        <w:numPr>
          <w:ilvl w:val="0"/>
          <w:numId w:val="18"/>
        </w:numPr>
      </w:pPr>
      <w:r>
        <w:t xml:space="preserve">A3 Assess Vocational Skills, Knowledge and Understanding </w:t>
      </w:r>
    </w:p>
    <w:p w14:paraId="2F0048E2" w14:textId="77777777" w:rsidR="00583A08" w:rsidRDefault="00583A08" w:rsidP="00583A08">
      <w:r>
        <w:t>The process may be holistic, and the discussions can be based around the performance evidence produced by the Assessor Learner.</w:t>
      </w:r>
    </w:p>
    <w:p w14:paraId="38F8CDE2" w14:textId="77777777" w:rsidR="00583A08" w:rsidRDefault="00583A08" w:rsidP="00583A08"/>
    <w:p w14:paraId="3BFF3164" w14:textId="77777777" w:rsidR="00583A08" w:rsidRDefault="00583A08" w:rsidP="00583A08">
      <w:r>
        <w:t xml:space="preserve">For units A2 Assess occupational competence in the work environment and A3 Assess vocational skills, knowledge and understanding evidence for all learning outcomes must come from performance in the work environment. There must be evidence to cover </w:t>
      </w:r>
      <w:proofErr w:type="gramStart"/>
      <w:r>
        <w:t>all of</w:t>
      </w:r>
      <w:proofErr w:type="gramEnd"/>
      <w:r>
        <w:t xml:space="preserve"> the assessment methods listed in the unit. As a minimum, there must be performance evidence for at least three of the following assessment methods:</w:t>
      </w:r>
    </w:p>
    <w:p w14:paraId="48169E72" w14:textId="77777777" w:rsidR="00583A08" w:rsidRDefault="00583A08" w:rsidP="00583A08"/>
    <w:p w14:paraId="26C96271" w14:textId="77777777" w:rsidR="00583A08" w:rsidRDefault="00583A08" w:rsidP="00583A08">
      <w:pPr>
        <w:pStyle w:val="ListParagraph"/>
        <w:numPr>
          <w:ilvl w:val="0"/>
          <w:numId w:val="19"/>
        </w:numPr>
      </w:pPr>
      <w:r>
        <w:t>assessments of the learner in simulated environments</w:t>
      </w:r>
    </w:p>
    <w:p w14:paraId="16D25987" w14:textId="77777777" w:rsidR="00583A08" w:rsidRDefault="00583A08" w:rsidP="00583A08">
      <w:pPr>
        <w:pStyle w:val="ListParagraph"/>
        <w:numPr>
          <w:ilvl w:val="0"/>
          <w:numId w:val="19"/>
        </w:numPr>
      </w:pPr>
      <w:r>
        <w:t>skills tests</w:t>
      </w:r>
    </w:p>
    <w:p w14:paraId="1EC146AB" w14:textId="77777777" w:rsidR="00583A08" w:rsidRDefault="00583A08" w:rsidP="00583A08">
      <w:pPr>
        <w:pStyle w:val="ListParagraph"/>
        <w:numPr>
          <w:ilvl w:val="0"/>
          <w:numId w:val="19"/>
        </w:numPr>
      </w:pPr>
      <w:r>
        <w:t>oral and written questions</w:t>
      </w:r>
    </w:p>
    <w:p w14:paraId="77C0D18E" w14:textId="77777777" w:rsidR="00583A08" w:rsidRDefault="00583A08" w:rsidP="00583A08">
      <w:pPr>
        <w:pStyle w:val="ListParagraph"/>
        <w:numPr>
          <w:ilvl w:val="0"/>
          <w:numId w:val="19"/>
        </w:numPr>
      </w:pPr>
      <w:r>
        <w:t>assignments</w:t>
      </w:r>
    </w:p>
    <w:p w14:paraId="3B3420B5" w14:textId="77777777" w:rsidR="00583A08" w:rsidRDefault="00583A08" w:rsidP="00583A08">
      <w:pPr>
        <w:pStyle w:val="ListParagraph"/>
        <w:numPr>
          <w:ilvl w:val="0"/>
          <w:numId w:val="19"/>
        </w:numPr>
      </w:pPr>
      <w:r>
        <w:t>projects</w:t>
      </w:r>
    </w:p>
    <w:p w14:paraId="59D79DCA" w14:textId="77777777" w:rsidR="00583A08" w:rsidRDefault="00583A08" w:rsidP="00583A08">
      <w:pPr>
        <w:pStyle w:val="ListParagraph"/>
        <w:numPr>
          <w:ilvl w:val="0"/>
          <w:numId w:val="19"/>
        </w:numPr>
      </w:pPr>
      <w:r>
        <w:t>case studies</w:t>
      </w:r>
    </w:p>
    <w:p w14:paraId="3FCD26A6" w14:textId="77777777" w:rsidR="00583A08" w:rsidRDefault="00583A08" w:rsidP="00583A08">
      <w:pPr>
        <w:pStyle w:val="ListParagraph"/>
        <w:numPr>
          <w:ilvl w:val="0"/>
          <w:numId w:val="19"/>
        </w:numPr>
      </w:pPr>
      <w:r>
        <w:t>recognising prior learning</w:t>
      </w:r>
    </w:p>
    <w:p w14:paraId="3C508718" w14:textId="77777777" w:rsidR="00583A08" w:rsidRDefault="00583A08" w:rsidP="00583A08"/>
    <w:p w14:paraId="785B86EC" w14:textId="77777777" w:rsidR="00583A08" w:rsidRDefault="00583A08" w:rsidP="00583A08">
      <w:r>
        <w:t>Other forms of evidence will be acceptable for the remaining assessment methods.</w:t>
      </w:r>
    </w:p>
    <w:p w14:paraId="57BD9787" w14:textId="77777777" w:rsidR="007062D4" w:rsidRDefault="007062D4" w:rsidP="007062D4"/>
    <w:p w14:paraId="004D406A" w14:textId="77777777" w:rsidR="007062D4" w:rsidRPr="007062D4" w:rsidRDefault="007062D4" w:rsidP="007062D4">
      <w:pPr>
        <w:rPr>
          <w:b/>
          <w:bCs/>
        </w:rPr>
      </w:pPr>
      <w:bookmarkStart w:id="6" w:name="_Toc239862257"/>
      <w:r w:rsidRPr="007062D4">
        <w:rPr>
          <w:b/>
          <w:bCs/>
        </w:rPr>
        <w:t>Carrying out a Discussion</w:t>
      </w:r>
      <w:bookmarkEnd w:id="6"/>
    </w:p>
    <w:p w14:paraId="2EACC80C" w14:textId="77777777" w:rsidR="007062D4" w:rsidRDefault="007062D4" w:rsidP="007062D4"/>
    <w:p w14:paraId="363D1647" w14:textId="77777777" w:rsidR="00583A08" w:rsidRDefault="00583A08" w:rsidP="00583A08">
      <w:r>
        <w:t xml:space="preserve">When carrying out a discussion, BIIAB recommends that discussions are kept to 20 minutes or less. For this length of discussion there is no requirement to breakdown the discussion, detailing at which point of the discussion each Assessment Criteria has been covered. However, for discussions longer than 20 minutes, a breakdown is required. 20 minutes is a lengthy </w:t>
      </w:r>
      <w:proofErr w:type="gramStart"/>
      <w:r>
        <w:t>period of time</w:t>
      </w:r>
      <w:proofErr w:type="gramEnd"/>
      <w:r>
        <w:t xml:space="preserve"> for a discussion and if it is expected to take longer than this, the BIIAB recommends that the Assessor plans to conduct two separate discussions. </w:t>
      </w:r>
    </w:p>
    <w:p w14:paraId="1223EAFB" w14:textId="77777777" w:rsidR="007062D4" w:rsidRDefault="007062D4" w:rsidP="007062D4"/>
    <w:p w14:paraId="06FA55CF" w14:textId="77777777" w:rsidR="007062D4" w:rsidRDefault="007062D4" w:rsidP="007062D4">
      <w:bookmarkStart w:id="7" w:name="_Toc239862258"/>
      <w:r w:rsidRPr="007062D4">
        <w:rPr>
          <w:b/>
          <w:bCs/>
        </w:rPr>
        <w:t>Appeals</w:t>
      </w:r>
      <w:bookmarkEnd w:id="7"/>
    </w:p>
    <w:p w14:paraId="4CBAA9A2" w14:textId="77777777" w:rsidR="007062D4" w:rsidRDefault="007062D4" w:rsidP="007062D4"/>
    <w:p w14:paraId="300A97F9" w14:textId="77777777" w:rsidR="007062D4" w:rsidRDefault="007062D4" w:rsidP="007062D4">
      <w:r>
        <w:t>If learners are dissatisfied with an assessment outcome, they have the right to appeal. The main reasons for an appeal are likely to be:</w:t>
      </w:r>
    </w:p>
    <w:p w14:paraId="2175096B" w14:textId="77777777" w:rsidR="007062D4" w:rsidRDefault="007062D4" w:rsidP="007062D4"/>
    <w:p w14:paraId="21F71F2C" w14:textId="77777777" w:rsidR="007062D4" w:rsidRDefault="007062D4" w:rsidP="0049336B">
      <w:pPr>
        <w:pStyle w:val="ListParagraph"/>
        <w:numPr>
          <w:ilvl w:val="0"/>
          <w:numId w:val="15"/>
        </w:numPr>
      </w:pPr>
      <w:r>
        <w:t>Learners do not understand why they are not yet regarded as competent, because of unsatisfactory feedback from the assessor</w:t>
      </w:r>
    </w:p>
    <w:p w14:paraId="20739189" w14:textId="77777777" w:rsidR="007062D4" w:rsidRDefault="007062D4" w:rsidP="007062D4"/>
    <w:p w14:paraId="0CA2F13D" w14:textId="77777777" w:rsidR="007062D4" w:rsidRDefault="007062D4" w:rsidP="0049336B">
      <w:pPr>
        <w:pStyle w:val="ListParagraph"/>
        <w:numPr>
          <w:ilvl w:val="0"/>
          <w:numId w:val="15"/>
        </w:numPr>
      </w:pPr>
      <w:r>
        <w:t>Learners believe they are competent and that the assessor has misjudged them, or has failed to utilise some vital evidence</w:t>
      </w:r>
    </w:p>
    <w:p w14:paraId="620D7B0A" w14:textId="77777777" w:rsidR="007062D4" w:rsidRDefault="007062D4" w:rsidP="007062D4"/>
    <w:p w14:paraId="3A360C38" w14:textId="77777777" w:rsidR="007062D4" w:rsidRDefault="007062D4" w:rsidP="007062D4">
      <w:r>
        <w:lastRenderedPageBreak/>
        <w:t xml:space="preserve">BIIAB Qualifications Limited expects most appeals from learners to be resolved within the centre. BIIAB Qualifications Limited will only consider a learner’s appeal after the centre’s internal appeals procedure has been fully exhausted.  </w:t>
      </w:r>
    </w:p>
    <w:p w14:paraId="467F952A" w14:textId="77777777" w:rsidR="007062D4" w:rsidRDefault="007062D4" w:rsidP="007062D4"/>
    <w:p w14:paraId="278A376A" w14:textId="77777777" w:rsidR="007062D4" w:rsidRDefault="007062D4" w:rsidP="007062D4">
      <w:r>
        <w:t xml:space="preserve">For full details of the BIIAB Qualifications Limited’s appeals procedure please refer to </w:t>
      </w:r>
      <w:hyperlink r:id="rId8" w:history="1">
        <w:r w:rsidRPr="004B254F">
          <w:rPr>
            <w:rStyle w:val="Hyperlink"/>
          </w:rPr>
          <w:t>https://biiab.co.uk/policies-and-procedures/</w:t>
        </w:r>
      </w:hyperlink>
      <w:r>
        <w:t xml:space="preserve"> </w:t>
      </w:r>
    </w:p>
    <w:p w14:paraId="7C7C9819" w14:textId="77777777" w:rsidR="007062D4" w:rsidRDefault="007062D4" w:rsidP="007062D4">
      <w:pPr>
        <w:rPr>
          <w:rFonts w:eastAsia="Verdana" w:cs="Tahoma"/>
          <w:color w:val="151515"/>
          <w:kern w:val="0"/>
          <w:szCs w:val="22"/>
          <w:lang w:val="en-US"/>
        </w:rPr>
      </w:pPr>
    </w:p>
    <w:p w14:paraId="52E3F8EF" w14:textId="77777777" w:rsidR="007062D4" w:rsidRPr="00FD3B88" w:rsidRDefault="007062D4" w:rsidP="007062D4">
      <w:r w:rsidRPr="00FD3B88">
        <w:t xml:space="preserve">Assessments will be accessible and will produce results that are valid, reliable, transparent and fair. BIIAB Qualifications Limited will ensure that the result of each assessment taken by a learner in relation to a qualification reflects the level of attainment demonstrated by that learner in the assessment and will be based upon the achievement of </w:t>
      </w:r>
      <w:proofErr w:type="gramStart"/>
      <w:r w:rsidRPr="00FD3B88">
        <w:t>all of</w:t>
      </w:r>
      <w:proofErr w:type="gramEnd"/>
      <w:r w:rsidRPr="00FD3B88">
        <w:t xml:space="preserve"> the specified learning outcomes.</w:t>
      </w:r>
    </w:p>
    <w:p w14:paraId="0ED1BA6D" w14:textId="77777777" w:rsidR="007062D4" w:rsidRPr="00FD3B88" w:rsidRDefault="007062D4" w:rsidP="007062D4"/>
    <w:p w14:paraId="1EE993A8" w14:textId="77777777" w:rsidR="007062D4" w:rsidRDefault="007062D4" w:rsidP="007062D4">
      <w:r w:rsidRPr="00FD3B88">
        <w:t>BIIAB Qualifications Limited will make every effort to ensure that it allows for assessment to:</w:t>
      </w:r>
    </w:p>
    <w:p w14:paraId="01D26662" w14:textId="77777777" w:rsidR="007062D4" w:rsidRPr="00FD3B88" w:rsidRDefault="007062D4" w:rsidP="007062D4"/>
    <w:p w14:paraId="7FAE629D" w14:textId="77777777" w:rsidR="007062D4" w:rsidRPr="00FD3B88" w:rsidRDefault="007062D4" w:rsidP="0049336B">
      <w:pPr>
        <w:pStyle w:val="ListParagraph"/>
        <w:numPr>
          <w:ilvl w:val="0"/>
          <w:numId w:val="3"/>
        </w:numPr>
      </w:pPr>
      <w:r w:rsidRPr="00FD3B88">
        <w:t>be up to date and current</w:t>
      </w:r>
    </w:p>
    <w:p w14:paraId="600A16E6" w14:textId="77777777" w:rsidR="007062D4" w:rsidRPr="00FD3B88" w:rsidRDefault="007062D4" w:rsidP="0049336B">
      <w:pPr>
        <w:pStyle w:val="ListParagraph"/>
        <w:numPr>
          <w:ilvl w:val="0"/>
          <w:numId w:val="3"/>
        </w:numPr>
      </w:pPr>
      <w:r w:rsidRPr="00FD3B88">
        <w:t>reflect the context from which the learner has been taught</w:t>
      </w:r>
    </w:p>
    <w:p w14:paraId="7E1D5BAE" w14:textId="77777777" w:rsidR="007062D4" w:rsidRDefault="007062D4" w:rsidP="0049336B">
      <w:pPr>
        <w:pStyle w:val="ListParagraph"/>
        <w:numPr>
          <w:ilvl w:val="0"/>
          <w:numId w:val="3"/>
        </w:numPr>
      </w:pPr>
      <w:r w:rsidRPr="00FD3B88">
        <w:t>be flexible to learner needs</w:t>
      </w:r>
    </w:p>
    <w:p w14:paraId="47531227" w14:textId="77777777" w:rsidR="007062D4" w:rsidRDefault="007062D4" w:rsidP="007062D4"/>
    <w:p w14:paraId="58EC4A64" w14:textId="77777777" w:rsidR="007062D4" w:rsidRDefault="007062D4" w:rsidP="007062D4">
      <w:r>
        <w:t xml:space="preserve">Please refer to the </w:t>
      </w:r>
      <w:hyperlink r:id="rId9" w:history="1">
        <w:r w:rsidRPr="00B7192C">
          <w:rPr>
            <w:rStyle w:val="Hyperlink"/>
          </w:rPr>
          <w:t>Instructions for the Conduct of Examinations and Other External Assessment</w:t>
        </w:r>
      </w:hyperlink>
      <w:r>
        <w:t xml:space="preserve"> for further information.</w:t>
      </w:r>
    </w:p>
    <w:p w14:paraId="4243925E" w14:textId="77777777" w:rsidR="007062D4" w:rsidRDefault="007062D4" w:rsidP="007062D4"/>
    <w:bookmarkEnd w:id="0"/>
    <w:p w14:paraId="4B69EF4A" w14:textId="77777777" w:rsidR="007062D4" w:rsidRDefault="007062D4" w:rsidP="007062D4"/>
    <w:sectPr w:rsidR="007062D4" w:rsidSect="00CF1EBC">
      <w:headerReference w:type="default" r:id="rId10"/>
      <w:footerReference w:type="default" r:id="rId11"/>
      <w:pgSz w:w="11906" w:h="16838" w:code="9"/>
      <w:pgMar w:top="283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7C402" w14:textId="77777777" w:rsidR="008D1D01" w:rsidRPr="005E68BA" w:rsidRDefault="008D1D01" w:rsidP="00C03E65">
      <w:r w:rsidRPr="005E68BA">
        <w:separator/>
      </w:r>
    </w:p>
  </w:endnote>
  <w:endnote w:type="continuationSeparator" w:id="0">
    <w:p w14:paraId="622D5A94" w14:textId="77777777" w:rsidR="008D1D01" w:rsidRPr="005E68BA" w:rsidRDefault="008D1D01" w:rsidP="00C03E65">
      <w:r w:rsidRPr="005E68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F24F" w14:textId="77777777" w:rsidR="00550190" w:rsidRDefault="00550190">
    <w:pPr>
      <w:pStyle w:val="Footer"/>
    </w:pPr>
    <w:r w:rsidRPr="006251BF">
      <w:rPr>
        <w:noProof/>
      </w:rPr>
      <mc:AlternateContent>
        <mc:Choice Requires="wps">
          <w:drawing>
            <wp:anchor distT="0" distB="0" distL="114300" distR="114300" simplePos="0" relativeHeight="251664384" behindDoc="1" locked="0" layoutInCell="1" allowOverlap="1" wp14:anchorId="00C1F20F" wp14:editId="2B6FCDDE">
              <wp:simplePos x="0" y="0"/>
              <wp:positionH relativeFrom="column">
                <wp:posOffset>-165735</wp:posOffset>
              </wp:positionH>
              <wp:positionV relativeFrom="page">
                <wp:posOffset>10069830</wp:posOffset>
              </wp:positionV>
              <wp:extent cx="1273810" cy="1205865"/>
              <wp:effectExtent l="0" t="0" r="21590" b="0"/>
              <wp:wrapNone/>
              <wp:docPr id="426403516"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CDFC2" id="Block Arc 10" o:spid="_x0000_s1026" style="position:absolute;margin-left:-13.05pt;margin-top:792.9pt;width:100.3pt;height:9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" path="m,602933c,269942,285152,,636905,v351753,,636905,269942,636905,602933l972344,602933v,-166495,-150181,-301466,-335439,-301466c451647,301467,301466,436438,301466,602933l,602933xe" fillcolor="#f5834b [3209]" strokecolor="#f5834b [3209]" strokeweight="1.5pt">
              <v:stroke joinstyle="miter"/>
              <v:path arrowok="t" o:connecttype="custom" o:connectlocs="0,602933;636905,0;1273810,602933;972344,602933;636905,301467;301466,602933;0,602933" o:connectangles="0,0,0,0,0,0,0"/>
              <o:lock v:ext="edit" aspectratio="t"/>
              <w10:wrap anchory="page"/>
            </v:shape>
          </w:pict>
        </mc:Fallback>
      </mc:AlternateContent>
    </w:r>
    <w:r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3360" behindDoc="1" locked="0" layoutInCell="1" allowOverlap="1" wp14:anchorId="7B397BC3" wp14:editId="674DE36F">
              <wp:simplePos x="0" y="0"/>
              <wp:positionH relativeFrom="column">
                <wp:posOffset>-2239645</wp:posOffset>
              </wp:positionH>
              <wp:positionV relativeFrom="page">
                <wp:posOffset>9294495</wp:posOffset>
              </wp:positionV>
              <wp:extent cx="2588400" cy="2448000"/>
              <wp:effectExtent l="0" t="38100" r="2540" b="0"/>
              <wp:wrapNone/>
              <wp:docPr id="1793597117"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AEA6D" id="Block Arc 12" o:spid="_x0000_s1026" style="position:absolute;margin-left:-176.35pt;margin-top:731.85pt;width:203.8pt;height:192.75pt;rotation:1470822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" path="m,1224000c,548003,579433,,1294200,v714767,,1294200,548003,1294200,1224000l1976400,1224000v,-337998,-305431,-612000,-682200,-612000c917431,612000,612000,886002,612000,1224000l,1224000xe" fillcolor="#821b41 [3208]" strokecolor="#821b41 [3208]" strokeweight="1.5pt">
              <v:stroke joinstyle="miter"/>
              <v:path arrowok="t" o:connecttype="custom" o:connectlocs="0,1224000;1294200,0;2588400,1224000;1976400,1224000;1294200,612000;612000,1224000;0,1224000" o:connectangles="0,0,0,0,0,0,0"/>
              <o:lock v:ext="edit" aspectratio="t"/>
              <w10:wrap anchory="page"/>
            </v:shape>
          </w:pict>
        </mc:Fallback>
      </mc:AlternateContent>
    </w:r>
  </w:p>
  <w:p w14:paraId="12359093" w14:textId="4D12BE38" w:rsidR="00A115B8" w:rsidRPr="00550190" w:rsidRDefault="00CF1EBC" w:rsidP="003A23AD">
    <w:pPr>
      <w:pStyle w:val="Footer"/>
      <w:jc w:val="center"/>
      <w:rPr>
        <w:sz w:val="20"/>
        <w:szCs w:val="20"/>
      </w:rPr>
    </w:pPr>
    <w:r>
      <w:rPr>
        <w:sz w:val="20"/>
        <w:szCs w:val="20"/>
      </w:rPr>
      <w:t>601/</w:t>
    </w:r>
    <w:r w:rsidR="007062D4">
      <w:rPr>
        <w:sz w:val="20"/>
        <w:szCs w:val="20"/>
      </w:rPr>
      <w:t>510</w:t>
    </w:r>
    <w:r w:rsidR="00583A08">
      <w:rPr>
        <w:sz w:val="20"/>
        <w:szCs w:val="20"/>
      </w:rPr>
      <w:t>1/8</w:t>
    </w:r>
    <w:r>
      <w:rPr>
        <w:sz w:val="20"/>
        <w:szCs w:val="20"/>
      </w:rPr>
      <w:t xml:space="preserve"> – v1.0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CDC66" w14:textId="77777777" w:rsidR="008D1D01" w:rsidRPr="005E68BA" w:rsidRDefault="008D1D01" w:rsidP="00C03E65">
      <w:r w:rsidRPr="005E68BA">
        <w:separator/>
      </w:r>
    </w:p>
  </w:footnote>
  <w:footnote w:type="continuationSeparator" w:id="0">
    <w:p w14:paraId="71987F54" w14:textId="77777777" w:rsidR="008D1D01" w:rsidRPr="005E68BA" w:rsidRDefault="008D1D01" w:rsidP="00C03E65">
      <w:r w:rsidRPr="005E68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6E0" w14:textId="242C7583" w:rsidR="00A115B8" w:rsidRPr="005E68BA" w:rsidRDefault="00A115B8">
    <w:pPr>
      <w:pStyle w:val="Header"/>
    </w:pPr>
    <w:r w:rsidRPr="005E68BA">
      <w:rPr>
        <w:noProof/>
      </w:rPr>
      <mc:AlternateContent>
        <mc:Choice Requires="wps">
          <w:drawing>
            <wp:anchor distT="0" distB="0" distL="114300" distR="114300" simplePos="0" relativeHeight="251660288" behindDoc="1" locked="0" layoutInCell="1" allowOverlap="1" wp14:anchorId="4E55FDAE" wp14:editId="0882067D">
              <wp:simplePos x="0" y="0"/>
              <wp:positionH relativeFrom="column">
                <wp:posOffset>4414520</wp:posOffset>
              </wp:positionH>
              <wp:positionV relativeFrom="page">
                <wp:posOffset>-553085</wp:posOffset>
              </wp:positionV>
              <wp:extent cx="1497330" cy="143637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6384ED" id="Block Arc 3" o:spid="_x0000_s1026" style="position:absolute;margin-left:347.6pt;margin-top:-43.55pt;width:117.9pt;height:113.1pt;rotation:10508736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" path="m,718185c,321542,335189,,748665,v413476,,748665,321542,748665,718185l1138238,718185v,-198322,-174418,-359093,-389573,-359093c533510,359092,359092,519863,359092,718185l,718185xe" fillcolor="#821b41 [3206]" strokecolor="#821b41 [3206]" strokeweight="1.5pt">
              <v:stroke joinstyle="miter"/>
              <v:path arrowok="t" o:connecttype="custom" o:connectlocs="0,718185;748665,0;1497330,718185;1138238,718185;748665,359092;359092,718185;0,718185" o:connectangles="0,0,0,0,0,0,0"/>
              <o:lock v:ext="edit" aspectratio="t"/>
              <w10:wrap anchory="page"/>
            </v:shape>
          </w:pict>
        </mc:Fallback>
      </mc:AlternateContent>
    </w:r>
    <w:r w:rsidRPr="005E68BA">
      <w:rPr>
        <w:noProof/>
      </w:rPr>
      <mc:AlternateContent>
        <mc:Choice Requires="wps">
          <w:drawing>
            <wp:anchor distT="0" distB="0" distL="114300" distR="114300" simplePos="0" relativeHeight="251659264" behindDoc="1" locked="0" layoutInCell="1" allowOverlap="1" wp14:anchorId="7F8B03F1" wp14:editId="53011EA2">
              <wp:simplePos x="0" y="0"/>
              <wp:positionH relativeFrom="column">
                <wp:posOffset>5195570</wp:posOffset>
              </wp:positionH>
              <wp:positionV relativeFrom="page">
                <wp:posOffset>-514985</wp:posOffset>
              </wp:positionV>
              <wp:extent cx="2699385" cy="2552065"/>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C0677" id="Block Arc 3" o:spid="_x0000_s1026" style="position:absolute;margin-left:409.1pt;margin-top:-40.55pt;width:212.55pt;height:200.95pt;rotation:-277358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" path="m,1276033c,571299,604278,,1349693,v745415,,1349693,571299,1349693,1276033l2061369,1276033v,-352367,-318628,-638016,-711676,-638016c956645,638017,638017,923666,638017,1276033l,1276033xe" fillcolor="#f5834b [3207]" strokecolor="#f5834b [3207]" strokeweight="1.5pt">
              <v:stroke joinstyle="miter"/>
              <v:path arrowok="t" o:connecttype="custom" o:connectlocs="0,1276033;1349693,0;2699386,1276033;2061369,1276033;1349693,638017;638017,1276033;0,1276033" o:connectangles="0,0,0,0,0,0,0"/>
              <o:lock v:ext="edit" aspectratio="t"/>
              <w10:wrap anchory="page"/>
            </v:shape>
          </w:pict>
        </mc:Fallback>
      </mc:AlternateContent>
    </w:r>
  </w:p>
  <w:p w14:paraId="1CDB031B" w14:textId="58A4E5CD" w:rsidR="00A115B8" w:rsidRPr="005E68BA" w:rsidRDefault="00FC5CCB">
    <w:pPr>
      <w:pStyle w:val="Header"/>
    </w:pPr>
    <w:r>
      <w:rPr>
        <w:noProof/>
      </w:rPr>
      <w:drawing>
        <wp:anchor distT="0" distB="0" distL="114300" distR="114300" simplePos="0" relativeHeight="251666432" behindDoc="1" locked="0" layoutInCell="1" allowOverlap="1" wp14:anchorId="076AF64C" wp14:editId="74AC6177">
          <wp:simplePos x="0" y="0"/>
          <wp:positionH relativeFrom="column">
            <wp:posOffset>0</wp:posOffset>
          </wp:positionH>
          <wp:positionV relativeFrom="page">
            <wp:posOffset>659130</wp:posOffset>
          </wp:positionV>
          <wp:extent cx="2087880" cy="575945"/>
          <wp:effectExtent l="0" t="0" r="7620" b="0"/>
          <wp:wrapNone/>
          <wp:docPr id="1900881566" name="Picture 9"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81566" name="Picture 9"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p>
  <w:p w14:paraId="1912F396" w14:textId="77777777" w:rsidR="00A115B8" w:rsidRPr="005E68BA" w:rsidRDefault="00A115B8">
    <w:pPr>
      <w:pStyle w:val="Header"/>
    </w:pPr>
  </w:p>
  <w:p w14:paraId="07176DA1" w14:textId="77777777" w:rsidR="0082662B" w:rsidRDefault="0082662B">
    <w:pPr>
      <w:pStyle w:val="Header"/>
    </w:pPr>
  </w:p>
  <w:p w14:paraId="1AABCE0E" w14:textId="77777777" w:rsidR="00CF1EBC" w:rsidRDefault="00CF1EBC">
    <w:pPr>
      <w:pStyle w:val="Header"/>
    </w:pPr>
  </w:p>
  <w:p w14:paraId="1BD39F57" w14:textId="77777777" w:rsidR="00CF1EBC" w:rsidRDefault="00CF1EBC">
    <w:pPr>
      <w:pStyle w:val="Header"/>
    </w:pPr>
  </w:p>
  <w:p w14:paraId="7E9A796C" w14:textId="71251CB0" w:rsidR="00CF1EBC" w:rsidRPr="00CF1EBC" w:rsidRDefault="00CF1EBC">
    <w:pPr>
      <w:pStyle w:val="Header"/>
      <w:rPr>
        <w:b/>
        <w:bCs/>
      </w:rPr>
    </w:pPr>
    <w:r w:rsidRPr="00CF1EBC">
      <w:rPr>
        <w:b/>
        <w:bCs/>
      </w:rPr>
      <w:t>Assessment Strategy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52AB"/>
    <w:multiLevelType w:val="multilevel"/>
    <w:tmpl w:val="B984AFCA"/>
    <w:numStyleLink w:val="Arrows"/>
  </w:abstractNum>
  <w:abstractNum w:abstractNumId="1" w15:restartNumberingAfterBreak="0">
    <w:nsid w:val="0DD3139D"/>
    <w:multiLevelType w:val="multilevel"/>
    <w:tmpl w:val="B984AFCA"/>
    <w:numStyleLink w:val="Arrows"/>
  </w:abstractNum>
  <w:abstractNum w:abstractNumId="2" w15:restartNumberingAfterBreak="0">
    <w:nsid w:val="0F9919F8"/>
    <w:multiLevelType w:val="multilevel"/>
    <w:tmpl w:val="B984AFCA"/>
    <w:numStyleLink w:val="Arrows"/>
  </w:abstractNum>
  <w:abstractNum w:abstractNumId="3" w15:restartNumberingAfterBreak="0">
    <w:nsid w:val="15D53452"/>
    <w:multiLevelType w:val="multilevel"/>
    <w:tmpl w:val="B984AFCA"/>
    <w:numStyleLink w:val="Arrows"/>
  </w:abstractNum>
  <w:abstractNum w:abstractNumId="4" w15:restartNumberingAfterBreak="0">
    <w:nsid w:val="1CF63005"/>
    <w:multiLevelType w:val="multilevel"/>
    <w:tmpl w:val="B984AFCA"/>
    <w:numStyleLink w:val="Arrows"/>
  </w:abstractNum>
  <w:abstractNum w:abstractNumId="5" w15:restartNumberingAfterBreak="0">
    <w:nsid w:val="22606321"/>
    <w:multiLevelType w:val="multilevel"/>
    <w:tmpl w:val="B984AFCA"/>
    <w:numStyleLink w:val="Arrows"/>
  </w:abstractNum>
  <w:abstractNum w:abstractNumId="6" w15:restartNumberingAfterBreak="0">
    <w:nsid w:val="37126751"/>
    <w:multiLevelType w:val="multilevel"/>
    <w:tmpl w:val="B984AFCA"/>
    <w:numStyleLink w:val="Arrows"/>
  </w:abstractNum>
  <w:abstractNum w:abstractNumId="7" w15:restartNumberingAfterBreak="0">
    <w:nsid w:val="44B940B4"/>
    <w:multiLevelType w:val="hybridMultilevel"/>
    <w:tmpl w:val="525ADF46"/>
    <w:lvl w:ilvl="0" w:tplc="21DA2D22">
      <w:start w:val="1"/>
      <w:numFmt w:val="bullet"/>
      <w:lvlText w:val=""/>
      <w:lvlJc w:val="left"/>
      <w:pPr>
        <w:ind w:left="720" w:hanging="360"/>
      </w:pPr>
      <w:rPr>
        <w:rFonts w:ascii="Symbol" w:hAnsi="Symbol" w:hint="default"/>
        <w:color w:val="F5834B"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B56804"/>
    <w:multiLevelType w:val="multilevel"/>
    <w:tmpl w:val="B984AFCA"/>
    <w:numStyleLink w:val="Arrows"/>
  </w:abstractNum>
  <w:abstractNum w:abstractNumId="9" w15:restartNumberingAfterBreak="0">
    <w:nsid w:val="52171194"/>
    <w:multiLevelType w:val="multilevel"/>
    <w:tmpl w:val="B984AFCA"/>
    <w:numStyleLink w:val="Arrows"/>
  </w:abstractNum>
  <w:abstractNum w:abstractNumId="10" w15:restartNumberingAfterBreak="0">
    <w:nsid w:val="52ED131E"/>
    <w:multiLevelType w:val="multilevel"/>
    <w:tmpl w:val="B984AFCA"/>
    <w:numStyleLink w:val="Arrows"/>
  </w:abstractNum>
  <w:abstractNum w:abstractNumId="11" w15:restartNumberingAfterBreak="0">
    <w:nsid w:val="53762C98"/>
    <w:multiLevelType w:val="multilevel"/>
    <w:tmpl w:val="B984AFCA"/>
    <w:numStyleLink w:val="Arrows"/>
  </w:abstractNum>
  <w:abstractNum w:abstractNumId="12" w15:restartNumberingAfterBreak="0">
    <w:nsid w:val="5BD43003"/>
    <w:multiLevelType w:val="multilevel"/>
    <w:tmpl w:val="B984AFCA"/>
    <w:numStyleLink w:val="Arrows"/>
  </w:abstractNum>
  <w:abstractNum w:abstractNumId="13" w15:restartNumberingAfterBreak="0">
    <w:nsid w:val="5EE37F68"/>
    <w:multiLevelType w:val="multilevel"/>
    <w:tmpl w:val="B984AFCA"/>
    <w:numStyleLink w:val="Arrows"/>
  </w:abstractNum>
  <w:abstractNum w:abstractNumId="14" w15:restartNumberingAfterBreak="0">
    <w:nsid w:val="623A18E7"/>
    <w:multiLevelType w:val="multilevel"/>
    <w:tmpl w:val="B984AFCA"/>
    <w:numStyleLink w:val="Arrows"/>
  </w:abstractNum>
  <w:abstractNum w:abstractNumId="15"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F5834B" w:themeColor="accent4"/>
      </w:rPr>
    </w:lvl>
    <w:lvl w:ilvl="1">
      <w:start w:val="1"/>
      <w:numFmt w:val="bullet"/>
      <w:lvlText w:val=""/>
      <w:lvlJc w:val="left"/>
      <w:pPr>
        <w:ind w:left="1077" w:hanging="363"/>
      </w:pPr>
      <w:rPr>
        <w:rFonts w:ascii="Symbol" w:hAnsi="Symbol" w:hint="default"/>
        <w:b/>
        <w:color w:val="821B41" w:themeColor="accent3"/>
      </w:rPr>
    </w:lvl>
    <w:lvl w:ilvl="2">
      <w:start w:val="1"/>
      <w:numFmt w:val="bullet"/>
      <w:lvlText w:val=""/>
      <w:lvlJc w:val="left"/>
      <w:pPr>
        <w:ind w:left="1434" w:hanging="363"/>
      </w:pPr>
      <w:rPr>
        <w:rFonts w:ascii="Symbol" w:hAnsi="Symbol" w:hint="default"/>
        <w:b/>
        <w:color w:val="F5834B" w:themeColor="accent4"/>
      </w:rPr>
    </w:lvl>
    <w:lvl w:ilvl="3">
      <w:start w:val="1"/>
      <w:numFmt w:val="bullet"/>
      <w:lvlText w:val=""/>
      <w:lvlJc w:val="left"/>
      <w:pPr>
        <w:ind w:left="1791" w:hanging="363"/>
      </w:pPr>
      <w:rPr>
        <w:rFonts w:ascii="Symbol" w:hAnsi="Symbol" w:hint="default"/>
        <w:b/>
        <w:color w:val="821B41" w:themeColor="accent3"/>
      </w:rPr>
    </w:lvl>
    <w:lvl w:ilvl="4">
      <w:start w:val="1"/>
      <w:numFmt w:val="bullet"/>
      <w:lvlText w:val=""/>
      <w:lvlJc w:val="left"/>
      <w:pPr>
        <w:ind w:left="2148" w:hanging="363"/>
      </w:pPr>
      <w:rPr>
        <w:rFonts w:ascii="Symbol" w:hAnsi="Symbol" w:hint="default"/>
        <w:b/>
        <w:color w:val="F5834B" w:themeColor="accent4"/>
      </w:rPr>
    </w:lvl>
    <w:lvl w:ilvl="5">
      <w:start w:val="1"/>
      <w:numFmt w:val="bullet"/>
      <w:lvlText w:val=""/>
      <w:lvlJc w:val="left"/>
      <w:pPr>
        <w:ind w:left="2505" w:hanging="363"/>
      </w:pPr>
      <w:rPr>
        <w:rFonts w:ascii="Symbol" w:hAnsi="Symbol" w:hint="default"/>
        <w:b/>
        <w:color w:val="821B41" w:themeColor="accent3"/>
      </w:rPr>
    </w:lvl>
    <w:lvl w:ilvl="6">
      <w:start w:val="1"/>
      <w:numFmt w:val="bullet"/>
      <w:lvlText w:val=""/>
      <w:lvlJc w:val="left"/>
      <w:pPr>
        <w:ind w:left="2862" w:hanging="363"/>
      </w:pPr>
      <w:rPr>
        <w:rFonts w:ascii="Symbol" w:hAnsi="Symbol" w:hint="default"/>
        <w:b/>
        <w:color w:val="F5834B" w:themeColor="accent4"/>
      </w:rPr>
    </w:lvl>
    <w:lvl w:ilvl="7">
      <w:start w:val="1"/>
      <w:numFmt w:val="bullet"/>
      <w:lvlText w:val=""/>
      <w:lvlJc w:val="left"/>
      <w:pPr>
        <w:ind w:left="3219" w:hanging="363"/>
      </w:pPr>
      <w:rPr>
        <w:rFonts w:ascii="Symbol" w:hAnsi="Symbol" w:hint="default"/>
        <w:b/>
        <w:color w:val="821B41" w:themeColor="accent3"/>
      </w:rPr>
    </w:lvl>
    <w:lvl w:ilvl="8">
      <w:start w:val="1"/>
      <w:numFmt w:val="bullet"/>
      <w:lvlText w:val=""/>
      <w:lvlJc w:val="left"/>
      <w:pPr>
        <w:ind w:left="3576" w:hanging="363"/>
      </w:pPr>
      <w:rPr>
        <w:rFonts w:ascii="Symbol" w:hAnsi="Symbol" w:hint="default"/>
        <w:b/>
        <w:color w:val="F5834B" w:themeColor="accent4"/>
      </w:rPr>
    </w:lvl>
  </w:abstractNum>
  <w:abstractNum w:abstractNumId="16" w15:restartNumberingAfterBreak="0">
    <w:nsid w:val="672D63B6"/>
    <w:multiLevelType w:val="multilevel"/>
    <w:tmpl w:val="B984AFCA"/>
    <w:numStyleLink w:val="Arrows"/>
  </w:abstractNum>
  <w:abstractNum w:abstractNumId="17" w15:restartNumberingAfterBreak="0">
    <w:nsid w:val="73862C20"/>
    <w:multiLevelType w:val="multilevel"/>
    <w:tmpl w:val="B984AFCA"/>
    <w:numStyleLink w:val="Arrows"/>
  </w:abstractNum>
  <w:abstractNum w:abstractNumId="18" w15:restartNumberingAfterBreak="0">
    <w:nsid w:val="7EA41EB1"/>
    <w:multiLevelType w:val="multilevel"/>
    <w:tmpl w:val="B984AFCA"/>
    <w:numStyleLink w:val="Arrows"/>
  </w:abstractNum>
  <w:num w:numId="1" w16cid:durableId="1330136663">
    <w:abstractNumId w:val="15"/>
  </w:num>
  <w:num w:numId="2" w16cid:durableId="498929245">
    <w:abstractNumId w:val="7"/>
  </w:num>
  <w:num w:numId="3" w16cid:durableId="1949388998">
    <w:abstractNumId w:val="0"/>
  </w:num>
  <w:num w:numId="4" w16cid:durableId="1703941091">
    <w:abstractNumId w:val="2"/>
  </w:num>
  <w:num w:numId="5" w16cid:durableId="1180200390">
    <w:abstractNumId w:val="4"/>
  </w:num>
  <w:num w:numId="6" w16cid:durableId="806437710">
    <w:abstractNumId w:val="6"/>
  </w:num>
  <w:num w:numId="7" w16cid:durableId="446658292">
    <w:abstractNumId w:val="8"/>
  </w:num>
  <w:num w:numId="8" w16cid:durableId="602611695">
    <w:abstractNumId w:val="11"/>
  </w:num>
  <w:num w:numId="9" w16cid:durableId="964853270">
    <w:abstractNumId w:val="14"/>
  </w:num>
  <w:num w:numId="10" w16cid:durableId="1728869766">
    <w:abstractNumId w:val="16"/>
  </w:num>
  <w:num w:numId="11" w16cid:durableId="1510943719">
    <w:abstractNumId w:val="18"/>
  </w:num>
  <w:num w:numId="12" w16cid:durableId="548566486">
    <w:abstractNumId w:val="10"/>
  </w:num>
  <w:num w:numId="13" w16cid:durableId="1190877355">
    <w:abstractNumId w:val="17"/>
  </w:num>
  <w:num w:numId="14" w16cid:durableId="1575579647">
    <w:abstractNumId w:val="13"/>
  </w:num>
  <w:num w:numId="15" w16cid:durableId="49421600">
    <w:abstractNumId w:val="3"/>
  </w:num>
  <w:num w:numId="16" w16cid:durableId="1709261700">
    <w:abstractNumId w:val="9"/>
  </w:num>
  <w:num w:numId="17" w16cid:durableId="243997284">
    <w:abstractNumId w:val="5"/>
  </w:num>
  <w:num w:numId="18" w16cid:durableId="1083184441">
    <w:abstractNumId w:val="12"/>
  </w:num>
  <w:num w:numId="19" w16cid:durableId="1370568510">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0A"/>
    <w:rsid w:val="00033F8C"/>
    <w:rsid w:val="00047C0D"/>
    <w:rsid w:val="000856AF"/>
    <w:rsid w:val="000E21F5"/>
    <w:rsid w:val="00113E02"/>
    <w:rsid w:val="00136E44"/>
    <w:rsid w:val="00146B6F"/>
    <w:rsid w:val="0015173A"/>
    <w:rsid w:val="00166980"/>
    <w:rsid w:val="00183611"/>
    <w:rsid w:val="001B1326"/>
    <w:rsid w:val="001B3C35"/>
    <w:rsid w:val="001F5D1E"/>
    <w:rsid w:val="0020093F"/>
    <w:rsid w:val="002211E3"/>
    <w:rsid w:val="00226E32"/>
    <w:rsid w:val="00234DCA"/>
    <w:rsid w:val="0024761A"/>
    <w:rsid w:val="00252C14"/>
    <w:rsid w:val="0025560E"/>
    <w:rsid w:val="00274553"/>
    <w:rsid w:val="00290A81"/>
    <w:rsid w:val="002973CE"/>
    <w:rsid w:val="002C04A8"/>
    <w:rsid w:val="002D53A6"/>
    <w:rsid w:val="002F60BC"/>
    <w:rsid w:val="0032099C"/>
    <w:rsid w:val="00323472"/>
    <w:rsid w:val="00324991"/>
    <w:rsid w:val="00331F9A"/>
    <w:rsid w:val="0034691A"/>
    <w:rsid w:val="00350AB8"/>
    <w:rsid w:val="003522E8"/>
    <w:rsid w:val="003546CD"/>
    <w:rsid w:val="0035581A"/>
    <w:rsid w:val="00360A70"/>
    <w:rsid w:val="003613F9"/>
    <w:rsid w:val="003745D9"/>
    <w:rsid w:val="0039438E"/>
    <w:rsid w:val="003A23AD"/>
    <w:rsid w:val="003D4137"/>
    <w:rsid w:val="003D4DF7"/>
    <w:rsid w:val="003F137C"/>
    <w:rsid w:val="00417BFE"/>
    <w:rsid w:val="0047711B"/>
    <w:rsid w:val="0049183C"/>
    <w:rsid w:val="0049336B"/>
    <w:rsid w:val="004A6FB3"/>
    <w:rsid w:val="004F697B"/>
    <w:rsid w:val="00505218"/>
    <w:rsid w:val="0051100D"/>
    <w:rsid w:val="00514F75"/>
    <w:rsid w:val="00525E26"/>
    <w:rsid w:val="00526F31"/>
    <w:rsid w:val="00533429"/>
    <w:rsid w:val="00550190"/>
    <w:rsid w:val="00583A08"/>
    <w:rsid w:val="00585574"/>
    <w:rsid w:val="005C1B9B"/>
    <w:rsid w:val="005C4C59"/>
    <w:rsid w:val="005D107F"/>
    <w:rsid w:val="005D768E"/>
    <w:rsid w:val="005E68BA"/>
    <w:rsid w:val="005F007D"/>
    <w:rsid w:val="006016AC"/>
    <w:rsid w:val="006144F5"/>
    <w:rsid w:val="00617BBE"/>
    <w:rsid w:val="006254F3"/>
    <w:rsid w:val="00630C68"/>
    <w:rsid w:val="00653A1C"/>
    <w:rsid w:val="0066067C"/>
    <w:rsid w:val="00670210"/>
    <w:rsid w:val="00670C8B"/>
    <w:rsid w:val="00696C2C"/>
    <w:rsid w:val="006B3F3E"/>
    <w:rsid w:val="007062D4"/>
    <w:rsid w:val="00710D2B"/>
    <w:rsid w:val="00710FED"/>
    <w:rsid w:val="00713DA7"/>
    <w:rsid w:val="00720E5D"/>
    <w:rsid w:val="007247AD"/>
    <w:rsid w:val="007354E4"/>
    <w:rsid w:val="00744FC6"/>
    <w:rsid w:val="007671CD"/>
    <w:rsid w:val="0077170A"/>
    <w:rsid w:val="00772958"/>
    <w:rsid w:val="00775F81"/>
    <w:rsid w:val="007A03E1"/>
    <w:rsid w:val="007B388A"/>
    <w:rsid w:val="007D0C20"/>
    <w:rsid w:val="0082662B"/>
    <w:rsid w:val="00830AEB"/>
    <w:rsid w:val="00853CDE"/>
    <w:rsid w:val="00872D71"/>
    <w:rsid w:val="008742B0"/>
    <w:rsid w:val="008863AC"/>
    <w:rsid w:val="008A2BB0"/>
    <w:rsid w:val="008A363F"/>
    <w:rsid w:val="008B2879"/>
    <w:rsid w:val="008B2A51"/>
    <w:rsid w:val="008B35EA"/>
    <w:rsid w:val="008D1D01"/>
    <w:rsid w:val="009031DE"/>
    <w:rsid w:val="0090708E"/>
    <w:rsid w:val="00984617"/>
    <w:rsid w:val="00985C4D"/>
    <w:rsid w:val="00990794"/>
    <w:rsid w:val="009A6373"/>
    <w:rsid w:val="009A7025"/>
    <w:rsid w:val="009C25D9"/>
    <w:rsid w:val="009D388C"/>
    <w:rsid w:val="009F294A"/>
    <w:rsid w:val="00A115B8"/>
    <w:rsid w:val="00A32164"/>
    <w:rsid w:val="00A510F8"/>
    <w:rsid w:val="00A54F94"/>
    <w:rsid w:val="00A57229"/>
    <w:rsid w:val="00A6045E"/>
    <w:rsid w:val="00A9302F"/>
    <w:rsid w:val="00AA518A"/>
    <w:rsid w:val="00AE5FA8"/>
    <w:rsid w:val="00AE6E9C"/>
    <w:rsid w:val="00AF53B7"/>
    <w:rsid w:val="00B56BC9"/>
    <w:rsid w:val="00B615FE"/>
    <w:rsid w:val="00B71A1C"/>
    <w:rsid w:val="00B7589B"/>
    <w:rsid w:val="00B75D51"/>
    <w:rsid w:val="00BA2C37"/>
    <w:rsid w:val="00BB28CF"/>
    <w:rsid w:val="00BB3EF4"/>
    <w:rsid w:val="00BD2ECF"/>
    <w:rsid w:val="00C03E65"/>
    <w:rsid w:val="00C21562"/>
    <w:rsid w:val="00C557E8"/>
    <w:rsid w:val="00C739CE"/>
    <w:rsid w:val="00C77DA6"/>
    <w:rsid w:val="00CF1EBC"/>
    <w:rsid w:val="00CF3EF9"/>
    <w:rsid w:val="00D216E4"/>
    <w:rsid w:val="00D223EC"/>
    <w:rsid w:val="00D34E1A"/>
    <w:rsid w:val="00D62CA2"/>
    <w:rsid w:val="00D67049"/>
    <w:rsid w:val="00D83F5D"/>
    <w:rsid w:val="00D849C2"/>
    <w:rsid w:val="00D86F0D"/>
    <w:rsid w:val="00DB57B0"/>
    <w:rsid w:val="00DC3E0F"/>
    <w:rsid w:val="00DC75F6"/>
    <w:rsid w:val="00DD2BD4"/>
    <w:rsid w:val="00DE1D17"/>
    <w:rsid w:val="00DE5D5E"/>
    <w:rsid w:val="00DE6658"/>
    <w:rsid w:val="00E31E9B"/>
    <w:rsid w:val="00E3428F"/>
    <w:rsid w:val="00E60B03"/>
    <w:rsid w:val="00E66D57"/>
    <w:rsid w:val="00E675F9"/>
    <w:rsid w:val="00E84558"/>
    <w:rsid w:val="00E94C5B"/>
    <w:rsid w:val="00EA249C"/>
    <w:rsid w:val="00EA2E4C"/>
    <w:rsid w:val="00ED2AFD"/>
    <w:rsid w:val="00EF5FFC"/>
    <w:rsid w:val="00F22749"/>
    <w:rsid w:val="00F52E54"/>
    <w:rsid w:val="00F77838"/>
    <w:rsid w:val="00F83F6B"/>
    <w:rsid w:val="00F879A1"/>
    <w:rsid w:val="00F922D4"/>
    <w:rsid w:val="00FA6FB5"/>
    <w:rsid w:val="00FC5CCB"/>
    <w:rsid w:val="00FC6175"/>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51B4A"/>
  <w15:chartTrackingRefBased/>
  <w15:docId w15:val="{A4D11235-F33B-4096-BD98-4E322B9B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F4"/>
    <w:rPr>
      <w:rFonts w:ascii="Verdana" w:hAnsi="Verdana"/>
      <w:sz w:val="22"/>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F5834B"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F5834B"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F5834B" w:themeColor="accent4"/>
    </w:rPr>
  </w:style>
  <w:style w:type="character" w:customStyle="1" w:styleId="QuoteChar">
    <w:name w:val="Quote Char"/>
    <w:basedOn w:val="DefaultParagraphFont"/>
    <w:link w:val="Quote"/>
    <w:uiPriority w:val="29"/>
    <w:rsid w:val="00113E02"/>
    <w:rPr>
      <w:rFonts w:ascii="Verdana" w:hAnsi="Verdana"/>
      <w:i/>
      <w:iCs/>
      <w:color w:val="F5834B"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rsid w:val="00F52E54"/>
    <w:pPr>
      <w:numPr>
        <w:numId w:val="1"/>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F9B493" w:themeColor="accent4" w:themeTint="99"/>
        <w:left w:val="single" w:sz="4" w:space="0" w:color="F9B493" w:themeColor="accent4" w:themeTint="99"/>
        <w:bottom w:val="single" w:sz="4" w:space="0" w:color="F9B493" w:themeColor="accent4" w:themeTint="99"/>
        <w:right w:val="single" w:sz="4" w:space="0" w:color="F9B493" w:themeColor="accent4" w:themeTint="99"/>
        <w:insideH w:val="single" w:sz="4" w:space="0" w:color="F9B493" w:themeColor="accent4" w:themeTint="99"/>
        <w:insideV w:val="single" w:sz="4" w:space="0" w:color="F9B493" w:themeColor="accent4" w:themeTint="99"/>
      </w:tblBorders>
    </w:tblPr>
    <w:tblStylePr w:type="firstRow">
      <w:rPr>
        <w:b/>
        <w:bCs/>
        <w:color w:val="FFFFFF" w:themeColor="background1"/>
      </w:rPr>
      <w:tblPr/>
      <w:tcPr>
        <w:tcBorders>
          <w:top w:val="single" w:sz="4" w:space="0" w:color="F5834B" w:themeColor="accent4"/>
          <w:left w:val="single" w:sz="4" w:space="0" w:color="F5834B" w:themeColor="accent4"/>
          <w:bottom w:val="single" w:sz="4" w:space="0" w:color="F5834B" w:themeColor="accent4"/>
          <w:right w:val="single" w:sz="4" w:space="0" w:color="F5834B" w:themeColor="accent4"/>
          <w:insideH w:val="nil"/>
          <w:insideV w:val="nil"/>
        </w:tcBorders>
        <w:shd w:val="clear" w:color="auto" w:fill="F5834B" w:themeFill="accent4"/>
      </w:tcPr>
    </w:tblStylePr>
    <w:tblStylePr w:type="lastRow">
      <w:rPr>
        <w:b/>
        <w:bCs/>
      </w:rPr>
      <w:tblPr/>
      <w:tcPr>
        <w:tcBorders>
          <w:top w:val="double" w:sz="4" w:space="0" w:color="F5834B" w:themeColor="accent4"/>
        </w:tcBorders>
      </w:tcPr>
    </w:tblStylePr>
    <w:tblStylePr w:type="firstCol">
      <w:rPr>
        <w:b/>
        <w:bCs/>
      </w:rPr>
    </w:tblStylePr>
    <w:tblStylePr w:type="lastCol">
      <w:rPr>
        <w:b/>
        <w:bCs/>
      </w:rPr>
    </w:tblStylePr>
    <w:tblStylePr w:type="band1Vert">
      <w:tblPr/>
      <w:tcPr>
        <w:shd w:val="clear" w:color="auto" w:fill="FDE6DB" w:themeFill="accent4" w:themeFillTint="33"/>
      </w:tcPr>
    </w:tblStylePr>
    <w:tblStylePr w:type="band1Horz">
      <w:tblPr/>
      <w:tcPr>
        <w:shd w:val="clear" w:color="auto" w:fill="FDE6DB"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FBCDB7" w:themeColor="accent6" w:themeTint="66"/>
        <w:left w:val="single" w:sz="4" w:space="0" w:color="FBCDB7" w:themeColor="accent6" w:themeTint="66"/>
        <w:bottom w:val="single" w:sz="4" w:space="0" w:color="FBCDB7" w:themeColor="accent6" w:themeTint="66"/>
        <w:right w:val="single" w:sz="4" w:space="0" w:color="FBCDB7" w:themeColor="accent6" w:themeTint="66"/>
        <w:insideH w:val="single" w:sz="4" w:space="0" w:color="FBCDB7" w:themeColor="accent6" w:themeTint="66"/>
        <w:insideV w:val="single" w:sz="4" w:space="0" w:color="FBCDB7" w:themeColor="accent6" w:themeTint="66"/>
      </w:tblBorders>
    </w:tblPr>
    <w:tblStylePr w:type="firstRow">
      <w:rPr>
        <w:b/>
        <w:bCs/>
      </w:rPr>
      <w:tblPr/>
      <w:tcPr>
        <w:tcBorders>
          <w:bottom w:val="single" w:sz="12" w:space="0" w:color="F9B493" w:themeColor="accent6" w:themeTint="99"/>
        </w:tcBorders>
      </w:tcPr>
    </w:tblStylePr>
    <w:tblStylePr w:type="lastRow">
      <w:rPr>
        <w:b/>
        <w:bCs/>
      </w:rPr>
      <w:tblPr/>
      <w:tcPr>
        <w:tcBorders>
          <w:top w:val="double" w:sz="2" w:space="0" w:color="F9B493"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E2530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834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834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834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834B" w:themeColor="accent6"/>
        </w:tcBorders>
        <w:shd w:val="clear" w:color="auto" w:fill="FFFFFF" w:themeFill="background1"/>
      </w:tcPr>
    </w:tblStylePr>
    <w:tblStylePr w:type="band1Vert">
      <w:tblPr/>
      <w:tcPr>
        <w:shd w:val="clear" w:color="auto" w:fill="FDE6DB" w:themeFill="accent6" w:themeFillTint="33"/>
      </w:tcPr>
    </w:tblStylePr>
    <w:tblStylePr w:type="band1Horz">
      <w:tblPr/>
      <w:tcPr>
        <w:shd w:val="clear" w:color="auto" w:fill="FDE6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F5834B" w:themeColor="accent6"/>
        <w:left w:val="single" w:sz="24" w:space="0" w:color="F5834B" w:themeColor="accent6"/>
        <w:bottom w:val="single" w:sz="24" w:space="0" w:color="F5834B" w:themeColor="accent6"/>
        <w:right w:val="single" w:sz="24" w:space="0" w:color="F5834B" w:themeColor="accent6"/>
      </w:tblBorders>
    </w:tblPr>
    <w:tcPr>
      <w:shd w:val="clear" w:color="auto" w:fill="F5834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821B41" w:themeColor="followedHyperlink"/>
      <w:u w:val="single"/>
    </w:rPr>
  </w:style>
  <w:style w:type="paragraph" w:styleId="TOC3">
    <w:name w:val="toc 3"/>
    <w:basedOn w:val="Normal"/>
    <w:next w:val="Normal"/>
    <w:autoRedefine/>
    <w:uiPriority w:val="39"/>
    <w:unhideWhenUsed/>
    <w:rsid w:val="00FF47F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ab.co.uk/policies-and-procedur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iab.co.uk/for-cent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G - BIIAB">
      <a:dk1>
        <a:sysClr val="windowText" lastClr="000000"/>
      </a:dk1>
      <a:lt1>
        <a:sysClr val="window" lastClr="FFFFFF"/>
      </a:lt1>
      <a:dk2>
        <a:srgbClr val="44546A"/>
      </a:dk2>
      <a:lt2>
        <a:srgbClr val="E7E6E6"/>
      </a:lt2>
      <a:accent1>
        <a:srgbClr val="000000"/>
      </a:accent1>
      <a:accent2>
        <a:srgbClr val="043956"/>
      </a:accent2>
      <a:accent3>
        <a:srgbClr val="821B41"/>
      </a:accent3>
      <a:accent4>
        <a:srgbClr val="F5834B"/>
      </a:accent4>
      <a:accent5>
        <a:srgbClr val="821B41"/>
      </a:accent5>
      <a:accent6>
        <a:srgbClr val="F5834B"/>
      </a:accent6>
      <a:hlink>
        <a:srgbClr val="043956"/>
      </a:hlink>
      <a:folHlink>
        <a:srgbClr val="821B4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2037</Words>
  <Characters>11815</Characters>
  <Application>Microsoft Office Word</Application>
  <DocSecurity>0</DocSecurity>
  <Lines>302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Carter</dc:creator>
  <cp:keywords/>
  <dc:description/>
  <cp:lastModifiedBy>Melanie Sergeant</cp:lastModifiedBy>
  <cp:revision>2</cp:revision>
  <dcterms:created xsi:type="dcterms:W3CDTF">2026-09-15T15:39:00Z</dcterms:created>
  <dcterms:modified xsi:type="dcterms:W3CDTF">2026-09-15T15:39:00Z</dcterms:modified>
</cp:coreProperties>
</file>